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DB" w:rsidRDefault="001E32DB" w:rsidP="001E32DB">
      <w:pPr>
        <w:pStyle w:val="Rubrik"/>
        <w:rPr>
          <w:lang w:val="en-GB"/>
        </w:rPr>
      </w:pPr>
      <w:r>
        <w:rPr>
          <w:lang w:val="en-GB"/>
        </w:rPr>
        <w:t>The Structure of an Artistic Research Question</w:t>
      </w:r>
    </w:p>
    <w:p w:rsidR="001E32DB" w:rsidRDefault="001E32DB" w:rsidP="001E32DB">
      <w:pPr>
        <w:pStyle w:val="Ingetavstnd"/>
        <w:spacing w:line="360" w:lineRule="auto"/>
        <w:rPr>
          <w:rFonts w:ascii="Times New Roman" w:hAnsi="Times New Roman"/>
          <w:sz w:val="24"/>
          <w:lang w:val="en-GB"/>
        </w:rPr>
      </w:pPr>
      <w:r>
        <w:rPr>
          <w:rFonts w:ascii="Times New Roman" w:hAnsi="Times New Roman"/>
          <w:sz w:val="24"/>
          <w:lang w:val="en-GB"/>
        </w:rPr>
        <w:t>Paper by: Magnus Andersson, Associate Professor at the Norwegian Academy of Music</w:t>
      </w:r>
    </w:p>
    <w:p w:rsidR="001E32DB" w:rsidRDefault="001E32DB" w:rsidP="001E32DB">
      <w:pPr>
        <w:pStyle w:val="Ingetavstnd"/>
        <w:spacing w:line="360" w:lineRule="auto"/>
        <w:rPr>
          <w:rFonts w:ascii="Times New Roman" w:hAnsi="Times New Roman"/>
          <w:sz w:val="24"/>
          <w:lang w:val="en-GB"/>
        </w:rPr>
      </w:pPr>
    </w:p>
    <w:p w:rsidR="001E32DB" w:rsidRPr="00BB4809" w:rsidRDefault="001E32DB" w:rsidP="001E32DB">
      <w:pPr>
        <w:pStyle w:val="Ingetavstnd"/>
        <w:spacing w:line="360" w:lineRule="auto"/>
        <w:rPr>
          <w:rStyle w:val="apple-style-span"/>
          <w:rFonts w:ascii="Times New Roman" w:hAnsi="Times New Roman" w:cs="Arial"/>
          <w:bCs/>
          <w:color w:val="000000"/>
          <w:sz w:val="24"/>
          <w:szCs w:val="20"/>
          <w:lang w:val="en-GB"/>
        </w:rPr>
      </w:pPr>
      <w:r w:rsidRPr="00BB4809">
        <w:rPr>
          <w:rFonts w:ascii="Times New Roman" w:hAnsi="Times New Roman"/>
          <w:sz w:val="24"/>
          <w:lang w:val="en-GB"/>
        </w:rPr>
        <w:t>Once upon a time, somewhere in the Universe, a</w:t>
      </w:r>
      <w:r w:rsidRPr="00BB4809">
        <w:rPr>
          <w:rStyle w:val="apple-converted-space"/>
          <w:rFonts w:ascii="Times New Roman" w:hAnsi="Times New Roman" w:cs="Arial"/>
          <w:color w:val="000000"/>
          <w:sz w:val="24"/>
          <w:szCs w:val="20"/>
          <w:lang w:val="en-GB"/>
        </w:rPr>
        <w:t> </w:t>
      </w:r>
      <w:r w:rsidRPr="00BB4809">
        <w:rPr>
          <w:rStyle w:val="apple-style-span"/>
          <w:rFonts w:ascii="Times New Roman" w:hAnsi="Times New Roman" w:cs="Arial"/>
          <w:color w:val="000000"/>
          <w:sz w:val="24"/>
          <w:szCs w:val="20"/>
          <w:lang w:val="en-GB"/>
        </w:rPr>
        <w:t>group of hyper-intelligent pan-dimensional beings wanted to learn the</w:t>
      </w:r>
      <w:r w:rsidRPr="00BB4809">
        <w:rPr>
          <w:rStyle w:val="apple-converted-space"/>
          <w:rFonts w:ascii="Times New Roman" w:hAnsi="Times New Roman" w:cs="Arial"/>
          <w:color w:val="000000"/>
          <w:sz w:val="24"/>
          <w:szCs w:val="20"/>
          <w:lang w:val="en-GB"/>
        </w:rPr>
        <w:t> </w:t>
      </w:r>
      <w:r w:rsidRPr="00BB4809">
        <w:rPr>
          <w:rStyle w:val="apple-style-span"/>
          <w:rFonts w:ascii="Times New Roman" w:hAnsi="Times New Roman" w:cs="Arial"/>
          <w:bCs/>
          <w:color w:val="000000"/>
          <w:sz w:val="24"/>
          <w:szCs w:val="20"/>
          <w:lang w:val="en-GB"/>
        </w:rPr>
        <w:t xml:space="preserve">Ultimate Answer to the Ultimate Question of Life, The Universe, and Everything. To still their yearning for knowledge they designed the supercomputer Deep Thought. 7 ½ million years later the computer arrives at the answer 42. However, at this stage nobody could remember what the Ultimate </w:t>
      </w:r>
      <w:r w:rsidRPr="00BB4809">
        <w:rPr>
          <w:rStyle w:val="apple-style-span"/>
          <w:rFonts w:ascii="Times New Roman" w:hAnsi="Times New Roman" w:cs="Arial"/>
          <w:bCs/>
          <w:i/>
          <w:color w:val="000000"/>
          <w:sz w:val="24"/>
          <w:szCs w:val="20"/>
          <w:lang w:val="en-GB"/>
        </w:rPr>
        <w:t>Question</w:t>
      </w:r>
      <w:r w:rsidRPr="00BB4809">
        <w:rPr>
          <w:rStyle w:val="apple-style-span"/>
          <w:rFonts w:ascii="Times New Roman" w:hAnsi="Times New Roman" w:cs="Arial"/>
          <w:bCs/>
          <w:color w:val="000000"/>
          <w:sz w:val="24"/>
          <w:szCs w:val="20"/>
          <w:lang w:val="en-GB"/>
        </w:rPr>
        <w:t xml:space="preserve"> to Life, The Universe, and Everything was. The computer had presented the Ultimate </w:t>
      </w:r>
      <w:r w:rsidRPr="00BB4809">
        <w:rPr>
          <w:rStyle w:val="apple-style-span"/>
          <w:rFonts w:ascii="Times New Roman" w:hAnsi="Times New Roman" w:cs="Arial"/>
          <w:bCs/>
          <w:i/>
          <w:color w:val="000000"/>
          <w:sz w:val="24"/>
          <w:szCs w:val="20"/>
          <w:lang w:val="en-GB"/>
        </w:rPr>
        <w:t>Answer</w:t>
      </w:r>
      <w:r w:rsidRPr="00BB4809">
        <w:rPr>
          <w:rStyle w:val="apple-style-span"/>
          <w:rFonts w:ascii="Times New Roman" w:hAnsi="Times New Roman" w:cs="Arial"/>
          <w:bCs/>
          <w:color w:val="000000"/>
          <w:sz w:val="24"/>
          <w:szCs w:val="20"/>
          <w:lang w:val="en-GB"/>
        </w:rPr>
        <w:t xml:space="preserve"> to the Ultimate Question of Life, The Universe, and Everything, but what good is an answer unless we know the question?</w:t>
      </w:r>
    </w:p>
    <w:p w:rsidR="001E32DB" w:rsidRPr="00BB4809" w:rsidRDefault="001E32DB" w:rsidP="001E32DB">
      <w:pPr>
        <w:pStyle w:val="Ingetavstnd"/>
        <w:spacing w:line="360" w:lineRule="auto"/>
        <w:ind w:firstLine="142"/>
        <w:rPr>
          <w:rStyle w:val="apple-style-span"/>
          <w:rFonts w:ascii="Times New Roman" w:hAnsi="Times New Roman"/>
          <w:sz w:val="24"/>
          <w:lang w:val="en-GB"/>
        </w:rPr>
      </w:pPr>
      <w:r w:rsidRPr="00BB4809">
        <w:rPr>
          <w:rStyle w:val="apple-style-span"/>
          <w:rFonts w:ascii="Times New Roman" w:hAnsi="Times New Roman" w:cs="Arial"/>
          <w:bCs/>
          <w:color w:val="000000"/>
          <w:sz w:val="24"/>
          <w:szCs w:val="20"/>
          <w:lang w:val="en-GB"/>
        </w:rPr>
        <w:t xml:space="preserve">Question and answer are the hen and the egg; they are the Heideggerian artwork, artist and art. One is defined by the other, and one cannot make sense without knowledge </w:t>
      </w:r>
      <w:r>
        <w:rPr>
          <w:rStyle w:val="apple-style-span"/>
          <w:rFonts w:ascii="Times New Roman" w:hAnsi="Times New Roman" w:cs="Arial"/>
          <w:bCs/>
          <w:color w:val="000000"/>
          <w:sz w:val="24"/>
          <w:szCs w:val="20"/>
          <w:lang w:val="en-GB"/>
        </w:rPr>
        <w:t xml:space="preserve">about </w:t>
      </w:r>
      <w:r w:rsidRPr="00BB4809">
        <w:rPr>
          <w:rStyle w:val="apple-style-span"/>
          <w:rFonts w:ascii="Times New Roman" w:hAnsi="Times New Roman" w:cs="Arial"/>
          <w:bCs/>
          <w:color w:val="000000"/>
          <w:sz w:val="24"/>
          <w:szCs w:val="20"/>
          <w:lang w:val="en-GB"/>
        </w:rPr>
        <w:t>its counterpart. An answer is always related to a question, and as we ask a question, we not only can</w:t>
      </w:r>
      <w:r>
        <w:rPr>
          <w:rStyle w:val="apple-style-span"/>
          <w:rFonts w:ascii="Times New Roman" w:hAnsi="Times New Roman" w:cs="Arial"/>
          <w:bCs/>
          <w:color w:val="000000"/>
          <w:sz w:val="24"/>
          <w:szCs w:val="20"/>
          <w:lang w:val="en-GB"/>
        </w:rPr>
        <w:t>,</w:t>
      </w:r>
      <w:r w:rsidRPr="00BB4809">
        <w:rPr>
          <w:rStyle w:val="apple-style-span"/>
          <w:rFonts w:ascii="Times New Roman" w:hAnsi="Times New Roman" w:cs="Arial"/>
          <w:bCs/>
          <w:color w:val="000000"/>
          <w:sz w:val="24"/>
          <w:szCs w:val="20"/>
          <w:lang w:val="en-GB"/>
        </w:rPr>
        <w:t xml:space="preserve"> but </w:t>
      </w:r>
      <w:r>
        <w:rPr>
          <w:rStyle w:val="apple-style-span"/>
          <w:rFonts w:ascii="Times New Roman" w:hAnsi="Times New Roman" w:cs="Arial"/>
          <w:bCs/>
          <w:color w:val="000000"/>
          <w:sz w:val="24"/>
          <w:szCs w:val="20"/>
          <w:lang w:val="en-GB"/>
        </w:rPr>
        <w:t xml:space="preserve">we </w:t>
      </w:r>
      <w:r w:rsidRPr="00BB4809">
        <w:rPr>
          <w:rStyle w:val="apple-style-span"/>
          <w:rFonts w:ascii="Times New Roman" w:hAnsi="Times New Roman" w:cs="Arial"/>
          <w:bCs/>
          <w:color w:val="000000"/>
          <w:sz w:val="24"/>
          <w:szCs w:val="20"/>
          <w:lang w:val="en-GB"/>
        </w:rPr>
        <w:t>must</w:t>
      </w:r>
      <w:r>
        <w:rPr>
          <w:rStyle w:val="apple-style-span"/>
          <w:rFonts w:ascii="Times New Roman" w:hAnsi="Times New Roman" w:cs="Arial"/>
          <w:bCs/>
          <w:color w:val="000000"/>
          <w:sz w:val="24"/>
          <w:szCs w:val="20"/>
          <w:lang w:val="en-GB"/>
        </w:rPr>
        <w:t>,</w:t>
      </w:r>
      <w:r w:rsidRPr="00BB4809">
        <w:rPr>
          <w:rStyle w:val="apple-style-span"/>
          <w:rFonts w:ascii="Times New Roman" w:hAnsi="Times New Roman" w:cs="Arial"/>
          <w:bCs/>
          <w:color w:val="000000"/>
          <w:sz w:val="24"/>
          <w:szCs w:val="20"/>
          <w:lang w:val="en-GB"/>
        </w:rPr>
        <w:t xml:space="preserve"> always anticipate something of the answer. When we ask a question, we have already given a preliminary answer, and likewise, our answer is only full when we relate it to a question. Or: if you don’t mind the excursion into Zen and the world of Daisetz Teitaro Suzuki: </w:t>
      </w:r>
      <w:r w:rsidRPr="00BB4809">
        <w:rPr>
          <w:rFonts w:ascii="Times New Roman" w:hAnsi="Times New Roman"/>
          <w:sz w:val="24"/>
          <w:lang w:val="en-GB"/>
        </w:rPr>
        <w:t>“the very asking is more than half the answering.”</w:t>
      </w:r>
      <w:r w:rsidRPr="00BB4809">
        <w:rPr>
          <w:rStyle w:val="Fotnotsreferens"/>
          <w:rFonts w:ascii="Times New Roman" w:hAnsi="Times New Roman"/>
          <w:sz w:val="24"/>
          <w:lang w:val="en-GB"/>
        </w:rPr>
        <w:footnoteReference w:id="1"/>
      </w:r>
      <w:r w:rsidRPr="00BB4809">
        <w:rPr>
          <w:rFonts w:ascii="Times New Roman" w:hAnsi="Times New Roman"/>
          <w:sz w:val="24"/>
          <w:lang w:val="en-GB"/>
        </w:rPr>
        <w:t xml:space="preserve"> Or: we could stay with Heidegger who, as he is formulating his ultimate question, namely the one about ‘Being’ </w:t>
      </w:r>
      <w:r>
        <w:rPr>
          <w:rFonts w:ascii="Times New Roman" w:hAnsi="Times New Roman"/>
          <w:sz w:val="24"/>
          <w:lang w:val="en-GB"/>
        </w:rPr>
        <w:t xml:space="preserve">discusses </w:t>
      </w:r>
      <w:r w:rsidRPr="00BB4809">
        <w:rPr>
          <w:rFonts w:ascii="Times New Roman" w:hAnsi="Times New Roman"/>
          <w:sz w:val="24"/>
          <w:lang w:val="en-GB"/>
        </w:rPr>
        <w:t xml:space="preserve">how questions and answers </w:t>
      </w:r>
      <w:r>
        <w:rPr>
          <w:rFonts w:ascii="Times New Roman" w:hAnsi="Times New Roman"/>
          <w:sz w:val="24"/>
          <w:lang w:val="en-GB"/>
        </w:rPr>
        <w:t xml:space="preserve">in general </w:t>
      </w:r>
      <w:r w:rsidRPr="00BB4809">
        <w:rPr>
          <w:rFonts w:ascii="Times New Roman" w:hAnsi="Times New Roman"/>
          <w:sz w:val="24"/>
          <w:lang w:val="en-GB"/>
        </w:rPr>
        <w:t xml:space="preserve">are related: “Every questioning is a seeking. Every seeking takes its direction beforehand from what is sought. [...] As questioning about ... questioning has </w:t>
      </w:r>
      <w:r w:rsidRPr="00BB4809">
        <w:rPr>
          <w:rFonts w:ascii="Times New Roman" w:hAnsi="Times New Roman"/>
          <w:i/>
          <w:sz w:val="24"/>
          <w:lang w:val="en-GB"/>
        </w:rPr>
        <w:t>what it asks.</w:t>
      </w:r>
      <w:r w:rsidRPr="00BB4809">
        <w:rPr>
          <w:rFonts w:ascii="Times New Roman" w:hAnsi="Times New Roman"/>
          <w:sz w:val="24"/>
          <w:lang w:val="en-GB"/>
        </w:rPr>
        <w:t xml:space="preserve"> [...] As a seeking, questioning needs previous guidance from what it seeks. The meaning of [42 – oh, excuse me, I mean:] Being must therefore already be available to us in a certain way.”</w:t>
      </w:r>
      <w:r w:rsidRPr="00BB4809">
        <w:rPr>
          <w:rStyle w:val="Fotnotsreferens"/>
          <w:rFonts w:ascii="Times New Roman" w:hAnsi="Times New Roman"/>
          <w:sz w:val="24"/>
          <w:lang w:val="en-GB"/>
        </w:rPr>
        <w:footnoteReference w:id="2"/>
      </w:r>
    </w:p>
    <w:p w:rsidR="001E32DB" w:rsidRPr="00BB4809" w:rsidRDefault="001E32DB" w:rsidP="001E32DB">
      <w:pPr>
        <w:pStyle w:val="Ingetavstnd"/>
        <w:spacing w:line="360" w:lineRule="auto"/>
        <w:ind w:firstLine="142"/>
        <w:rPr>
          <w:rFonts w:ascii="Times New Roman" w:hAnsi="Times New Roman"/>
          <w:sz w:val="24"/>
          <w:lang w:val="en-GB"/>
        </w:rPr>
      </w:pPr>
      <w:r w:rsidRPr="00BB4809">
        <w:rPr>
          <w:rStyle w:val="apple-style-span"/>
          <w:rFonts w:ascii="Times New Roman" w:hAnsi="Times New Roman" w:cs="Arial"/>
          <w:bCs/>
          <w:color w:val="000000"/>
          <w:sz w:val="24"/>
          <w:szCs w:val="20"/>
          <w:lang w:val="en-GB"/>
        </w:rPr>
        <w:t xml:space="preserve">As Artistic Researchers we should not be content with an answer like 42. </w:t>
      </w:r>
      <w:r w:rsidRPr="00BB4809">
        <w:rPr>
          <w:rFonts w:ascii="Times New Roman" w:hAnsi="Times New Roman"/>
          <w:sz w:val="24"/>
          <w:lang w:val="en-GB"/>
        </w:rPr>
        <w:t xml:space="preserve">When </w:t>
      </w:r>
      <w:r w:rsidRPr="00BB4809">
        <w:rPr>
          <w:rFonts w:ascii="Times New Roman" w:hAnsi="Times New Roman"/>
          <w:i/>
          <w:sz w:val="24"/>
          <w:lang w:val="en-GB"/>
        </w:rPr>
        <w:t>Deep Thought</w:t>
      </w:r>
      <w:r w:rsidRPr="00BB4809">
        <w:rPr>
          <w:rFonts w:ascii="Times New Roman" w:hAnsi="Times New Roman"/>
          <w:sz w:val="24"/>
          <w:lang w:val="en-GB"/>
        </w:rPr>
        <w:t xml:space="preserve"> proposed that the meaning of life was a figure, the people did not get to know something they did not know from before. Or, they were indeed presented with a piece of knowledge that was new to them, but a figure is nothing less than a worthless fact. Why? </w:t>
      </w:r>
      <w:r>
        <w:rPr>
          <w:rFonts w:ascii="Times New Roman" w:hAnsi="Times New Roman"/>
          <w:sz w:val="24"/>
          <w:lang w:val="en-GB"/>
        </w:rPr>
        <w:lastRenderedPageBreak/>
        <w:t>Because m</w:t>
      </w:r>
      <w:r w:rsidRPr="00BB4809">
        <w:rPr>
          <w:rFonts w:ascii="Times New Roman" w:hAnsi="Times New Roman"/>
          <w:sz w:val="24"/>
          <w:lang w:val="en-GB"/>
        </w:rPr>
        <w:t xml:space="preserve">illions of years have passed since the question was put, and when they </w:t>
      </w:r>
      <w:r>
        <w:rPr>
          <w:rFonts w:ascii="Times New Roman" w:hAnsi="Times New Roman"/>
          <w:sz w:val="24"/>
          <w:lang w:val="en-GB"/>
        </w:rPr>
        <w:t xml:space="preserve">were presented with </w:t>
      </w:r>
      <w:r w:rsidRPr="00BB4809">
        <w:rPr>
          <w:rFonts w:ascii="Times New Roman" w:hAnsi="Times New Roman"/>
          <w:sz w:val="24"/>
          <w:lang w:val="en-GB"/>
        </w:rPr>
        <w:t xml:space="preserve">the answer they </w:t>
      </w:r>
      <w:r>
        <w:rPr>
          <w:rFonts w:ascii="Times New Roman" w:hAnsi="Times New Roman"/>
          <w:sz w:val="24"/>
          <w:lang w:val="en-GB"/>
        </w:rPr>
        <w:t xml:space="preserve">could not relate it to the question. </w:t>
      </w:r>
      <w:r w:rsidRPr="00BB4809">
        <w:rPr>
          <w:rFonts w:ascii="Times New Roman" w:hAnsi="Times New Roman"/>
          <w:sz w:val="24"/>
          <w:lang w:val="en-GB"/>
        </w:rPr>
        <w:t xml:space="preserve">Perhaps even more important is that even if they had remembered the question, there was no salient relationship between question and answer. Figures can indeed be meaningful, but 42 did not enlighten our understanding of the initial question because we do not know the question. If a question is to tell us more than we knew, then we must get to know something </w:t>
      </w:r>
      <w:r w:rsidRPr="00BB4809">
        <w:rPr>
          <w:rFonts w:ascii="Times New Roman" w:hAnsi="Times New Roman"/>
          <w:i/>
          <w:sz w:val="24"/>
          <w:lang w:val="en-GB"/>
        </w:rPr>
        <w:t>about</w:t>
      </w:r>
      <w:r w:rsidRPr="00BB4809">
        <w:rPr>
          <w:rFonts w:ascii="Times New Roman" w:hAnsi="Times New Roman"/>
          <w:sz w:val="24"/>
          <w:lang w:val="en-GB"/>
        </w:rPr>
        <w:t xml:space="preserve"> something, or in Heidegger’s words:</w:t>
      </w:r>
    </w:p>
    <w:p w:rsidR="001E32DB" w:rsidRPr="00BB4809" w:rsidRDefault="001E32DB" w:rsidP="001E32DB">
      <w:pPr>
        <w:pStyle w:val="Citat"/>
        <w:rPr>
          <w:lang w:val="en-GB"/>
        </w:rPr>
      </w:pPr>
      <w:r w:rsidRPr="00BB4809">
        <w:rPr>
          <w:lang w:val="en-GB"/>
        </w:rPr>
        <w:t xml:space="preserve">What is questioned is to be defined and conceptualized in the investigative or specifically theoretical question. As what is really intended, what is to be </w:t>
      </w:r>
      <w:r w:rsidRPr="00BB4809">
        <w:rPr>
          <w:i/>
          <w:lang w:val="en-GB"/>
        </w:rPr>
        <w:t xml:space="preserve">ascertained </w:t>
      </w:r>
      <w:r w:rsidRPr="00BB4809">
        <w:rPr>
          <w:lang w:val="en-GB"/>
        </w:rPr>
        <w:t>lies in what is questioned; here questioning arrives at its goal.</w:t>
      </w:r>
      <w:r w:rsidRPr="00BB4809">
        <w:rPr>
          <w:rStyle w:val="Fotnotsreferens"/>
          <w:sz w:val="24"/>
          <w:lang w:val="en-GB"/>
        </w:rPr>
        <w:footnoteReference w:id="3"/>
      </w:r>
    </w:p>
    <w:p w:rsidR="001E32DB" w:rsidRPr="00BB4809" w:rsidRDefault="001E32DB" w:rsidP="001E32DB">
      <w:pPr>
        <w:pStyle w:val="Ingetavstnd"/>
        <w:spacing w:line="360" w:lineRule="auto"/>
        <w:ind w:firstLine="142"/>
        <w:rPr>
          <w:rFonts w:ascii="Times New Roman" w:hAnsi="Times New Roman"/>
          <w:sz w:val="24"/>
          <w:lang w:val="en-GB"/>
        </w:rPr>
      </w:pPr>
      <w:r w:rsidRPr="00BB4809">
        <w:rPr>
          <w:rFonts w:ascii="Times New Roman" w:hAnsi="Times New Roman"/>
          <w:sz w:val="24"/>
          <w:lang w:val="en-GB"/>
        </w:rPr>
        <w:t xml:space="preserve">In other words, Q&amp;A must be related. They must be two sides of the same coin. They must be different aspects of one and the same theme. That is why also the second project of the pan-dimensional beings was doomed to fail. They devised a new programme to discover the Ultimate Question, and this time it was a ten-million-year programme, but their question would never allow for the meaning of life to be expounded because the </w:t>
      </w:r>
      <w:r>
        <w:rPr>
          <w:rFonts w:ascii="Times New Roman" w:hAnsi="Times New Roman"/>
          <w:sz w:val="24"/>
          <w:lang w:val="en-GB"/>
        </w:rPr>
        <w:t xml:space="preserve">chosen </w:t>
      </w:r>
      <w:r w:rsidRPr="00BB4809">
        <w:rPr>
          <w:rFonts w:ascii="Times New Roman" w:hAnsi="Times New Roman"/>
          <w:sz w:val="24"/>
          <w:lang w:val="en-GB"/>
        </w:rPr>
        <w:t xml:space="preserve">method </w:t>
      </w:r>
      <w:r>
        <w:rPr>
          <w:rFonts w:ascii="Times New Roman" w:hAnsi="Times New Roman"/>
          <w:sz w:val="24"/>
          <w:lang w:val="en-GB"/>
        </w:rPr>
        <w:t xml:space="preserve">aimed at </w:t>
      </w:r>
      <w:r w:rsidRPr="00BB4809">
        <w:rPr>
          <w:rFonts w:ascii="Times New Roman" w:hAnsi="Times New Roman"/>
          <w:sz w:val="24"/>
          <w:lang w:val="en-GB"/>
        </w:rPr>
        <w:t>see</w:t>
      </w:r>
      <w:r>
        <w:rPr>
          <w:rFonts w:ascii="Times New Roman" w:hAnsi="Times New Roman"/>
          <w:sz w:val="24"/>
          <w:lang w:val="en-GB"/>
        </w:rPr>
        <w:t>ing</w:t>
      </w:r>
      <w:r w:rsidRPr="00BB4809">
        <w:rPr>
          <w:rFonts w:ascii="Times New Roman" w:hAnsi="Times New Roman"/>
          <w:sz w:val="24"/>
          <w:lang w:val="en-GB"/>
        </w:rPr>
        <w:t xml:space="preserve"> how mice worked in a computational matrix.</w:t>
      </w:r>
    </w:p>
    <w:p w:rsidR="001E32DB" w:rsidRPr="00BB4809" w:rsidRDefault="001E32DB" w:rsidP="001E32DB">
      <w:pPr>
        <w:pStyle w:val="Ingetavstnd"/>
        <w:spacing w:line="360" w:lineRule="auto"/>
        <w:ind w:firstLine="142"/>
        <w:rPr>
          <w:rFonts w:ascii="Times New Roman" w:hAnsi="Times New Roman"/>
          <w:sz w:val="24"/>
          <w:lang w:val="en-GB"/>
        </w:rPr>
      </w:pPr>
      <w:r w:rsidRPr="00BB4809">
        <w:rPr>
          <w:rFonts w:ascii="Times New Roman" w:hAnsi="Times New Roman"/>
          <w:sz w:val="24"/>
          <w:lang w:val="en-GB"/>
        </w:rPr>
        <w:t>It is difficult to ask good questions. Deep Thought and its sequel were terrible at asking questions</w:t>
      </w:r>
      <w:r>
        <w:rPr>
          <w:rFonts w:ascii="Times New Roman" w:hAnsi="Times New Roman"/>
          <w:sz w:val="24"/>
          <w:lang w:val="en-GB"/>
        </w:rPr>
        <w:t>, or rather: they were devised to answer poorly formulated questions</w:t>
      </w:r>
      <w:r w:rsidRPr="00BB4809">
        <w:rPr>
          <w:rFonts w:ascii="Times New Roman" w:hAnsi="Times New Roman"/>
          <w:sz w:val="24"/>
          <w:lang w:val="en-GB"/>
        </w:rPr>
        <w:t>. Let us hope that we as artistic researchers have more intelligent questions to ask. So, can we ask meaningful questions about the meaning of life, or, is it at all possible to ask questions about art that are productive? One may easily be deluded to believe that questions should seek clear-cut answers, but the first we need to learn is that clarity is not in itself a criteria for truth or relevance. Einstein said that “everything should be made as simple as possible, though not simpler.”</w:t>
      </w:r>
      <w:r w:rsidRPr="00BB4809">
        <w:rPr>
          <w:rStyle w:val="Fotnotsreferens"/>
          <w:rFonts w:ascii="Times New Roman" w:hAnsi="Times New Roman" w:cs="Arial"/>
          <w:bCs/>
          <w:color w:val="000000"/>
          <w:sz w:val="24"/>
          <w:szCs w:val="20"/>
          <w:lang w:val="en-GB"/>
        </w:rPr>
        <w:footnoteReference w:id="4"/>
      </w:r>
      <w:r w:rsidRPr="00BB4809">
        <w:rPr>
          <w:rFonts w:ascii="Times New Roman" w:hAnsi="Times New Roman"/>
          <w:sz w:val="24"/>
          <w:lang w:val="en-GB"/>
        </w:rPr>
        <w:t>Art is seldom simple. Anyone who avoids asking questions about art with the ostensible argument that the nature of art does not allow for asking questions assumes a naive understanding of research – one where answers are simpler than what is possible. What is often said, that there is beauty in simplicity, is not always necessarily true. Measuring the amount of saliva or the hormones that are produced during a kiss may result in exact measures but the graphs will be very poor explanations of a kiss. Too many researchers have come to love their answers</w:t>
      </w:r>
      <w:r>
        <w:rPr>
          <w:rFonts w:ascii="Times New Roman" w:hAnsi="Times New Roman"/>
          <w:sz w:val="24"/>
          <w:lang w:val="en-GB"/>
        </w:rPr>
        <w:t xml:space="preserve">, their </w:t>
      </w:r>
      <w:r>
        <w:rPr>
          <w:rFonts w:ascii="Times New Roman" w:hAnsi="Times New Roman"/>
          <w:i/>
          <w:sz w:val="24"/>
          <w:lang w:val="en-GB"/>
        </w:rPr>
        <w:t>42 answers</w:t>
      </w:r>
      <w:r>
        <w:rPr>
          <w:rFonts w:ascii="Times New Roman" w:hAnsi="Times New Roman"/>
          <w:sz w:val="24"/>
          <w:lang w:val="en-GB"/>
        </w:rPr>
        <w:t>,</w:t>
      </w:r>
      <w:r w:rsidRPr="00BB4809">
        <w:rPr>
          <w:rFonts w:ascii="Times New Roman" w:hAnsi="Times New Roman"/>
          <w:sz w:val="24"/>
          <w:lang w:val="en-GB"/>
        </w:rPr>
        <w:t xml:space="preserve"> without remembering what their questions were. Others merely ask questions that they can answer, and thus they avoid the questions that really matter.</w:t>
      </w:r>
    </w:p>
    <w:p w:rsidR="001E32DB" w:rsidRPr="00BB4809" w:rsidRDefault="001E32DB" w:rsidP="001E32DB">
      <w:pPr>
        <w:pStyle w:val="Ingetavstnd"/>
        <w:spacing w:line="360" w:lineRule="auto"/>
        <w:ind w:firstLine="142"/>
        <w:rPr>
          <w:rStyle w:val="apple-style-span"/>
          <w:rFonts w:ascii="Times New Roman" w:hAnsi="Times New Roman"/>
          <w:sz w:val="24"/>
          <w:lang w:val="en-GB"/>
        </w:rPr>
      </w:pPr>
      <w:r w:rsidRPr="00BB4809">
        <w:rPr>
          <w:rStyle w:val="apple-style-span"/>
          <w:rFonts w:ascii="Times New Roman" w:hAnsi="Times New Roman"/>
          <w:sz w:val="24"/>
          <w:lang w:val="en-GB"/>
        </w:rPr>
        <w:lastRenderedPageBreak/>
        <w:t>So, I ask again, is it possible to ask questions about the meaning of life or pose artistic research question? Indeed it is, but as you ask you must answer; and the meaning of life could hardly be contained within figures or any simple statement.</w:t>
      </w:r>
    </w:p>
    <w:p w:rsidR="001E32DB" w:rsidRPr="00BB4809" w:rsidRDefault="001E32DB" w:rsidP="001E32DB">
      <w:pPr>
        <w:pStyle w:val="Ingetavstnd"/>
        <w:spacing w:line="360" w:lineRule="auto"/>
        <w:ind w:firstLine="142"/>
        <w:rPr>
          <w:rStyle w:val="apple-style-span"/>
          <w:rFonts w:ascii="Times New Roman" w:hAnsi="Times New Roman"/>
          <w:sz w:val="24"/>
          <w:lang w:val="en-GB"/>
        </w:rPr>
      </w:pPr>
      <w:r w:rsidRPr="00BB4809">
        <w:rPr>
          <w:rStyle w:val="apple-style-span"/>
          <w:rFonts w:ascii="Times New Roman" w:hAnsi="Times New Roman"/>
          <w:sz w:val="24"/>
          <w:lang w:val="en-GB"/>
        </w:rPr>
        <w:t>The point I have tried to make is utterly simple. Question and answer are reciprocally related. A question always implies something of the answer. From the other point of view: an answer without a question is an expression, not an answer.</w:t>
      </w:r>
    </w:p>
    <w:p w:rsidR="001E32DB" w:rsidRPr="00BB4809" w:rsidRDefault="001E32DB" w:rsidP="001E32DB">
      <w:pPr>
        <w:pStyle w:val="Ingetavstnd"/>
        <w:spacing w:line="360" w:lineRule="auto"/>
        <w:ind w:firstLine="142"/>
        <w:rPr>
          <w:rStyle w:val="apple-style-span"/>
          <w:rFonts w:ascii="Times New Roman" w:hAnsi="Times New Roman"/>
          <w:sz w:val="24"/>
          <w:lang w:val="en-GB"/>
        </w:rPr>
      </w:pPr>
      <w:r w:rsidRPr="00BB4809">
        <w:rPr>
          <w:rStyle w:val="apple-style-span"/>
          <w:rFonts w:ascii="Times New Roman" w:hAnsi="Times New Roman"/>
          <w:sz w:val="24"/>
          <w:lang w:val="en-GB"/>
        </w:rPr>
        <w:t xml:space="preserve">This sounds pretty simple to the extent that it is obvious. Even so, it must be said. Too much practice is done in the name of research that is not at all research. Why? Because </w:t>
      </w:r>
      <w:r>
        <w:rPr>
          <w:rStyle w:val="apple-style-span"/>
          <w:rFonts w:ascii="Times New Roman" w:hAnsi="Times New Roman"/>
          <w:sz w:val="24"/>
          <w:lang w:val="en-GB"/>
        </w:rPr>
        <w:t xml:space="preserve">there is no </w:t>
      </w:r>
      <w:r w:rsidRPr="00BB4809">
        <w:rPr>
          <w:rStyle w:val="apple-style-span"/>
          <w:rFonts w:ascii="Times New Roman" w:hAnsi="Times New Roman"/>
          <w:i/>
          <w:sz w:val="24"/>
          <w:lang w:val="en-GB"/>
        </w:rPr>
        <w:t>about</w:t>
      </w:r>
      <w:r>
        <w:rPr>
          <w:rStyle w:val="apple-style-span"/>
          <w:rFonts w:ascii="Times New Roman" w:hAnsi="Times New Roman"/>
          <w:sz w:val="24"/>
          <w:lang w:val="en-GB"/>
        </w:rPr>
        <w:t xml:space="preserve"> to the research</w:t>
      </w:r>
      <w:r w:rsidRPr="00BB4809">
        <w:rPr>
          <w:rStyle w:val="apple-style-span"/>
          <w:rFonts w:ascii="Times New Roman" w:hAnsi="Times New Roman"/>
          <w:sz w:val="24"/>
          <w:lang w:val="en-GB"/>
        </w:rPr>
        <w:t xml:space="preserve">. It may be artistic work at a very high level, but </w:t>
      </w:r>
      <w:r>
        <w:rPr>
          <w:rStyle w:val="apple-style-span"/>
          <w:rFonts w:ascii="Times New Roman" w:hAnsi="Times New Roman"/>
          <w:sz w:val="24"/>
          <w:lang w:val="en-GB"/>
        </w:rPr>
        <w:t xml:space="preserve">it is very seldom that the artistic expression per se presents us with an understanding of what the expression is </w:t>
      </w:r>
      <w:r>
        <w:rPr>
          <w:rStyle w:val="apple-style-span"/>
          <w:rFonts w:ascii="Times New Roman" w:hAnsi="Times New Roman"/>
          <w:i/>
          <w:sz w:val="24"/>
          <w:lang w:val="en-GB"/>
        </w:rPr>
        <w:t>about</w:t>
      </w:r>
      <w:r>
        <w:rPr>
          <w:rStyle w:val="apple-style-span"/>
          <w:rFonts w:ascii="Times New Roman" w:hAnsi="Times New Roman"/>
          <w:sz w:val="24"/>
          <w:lang w:val="en-GB"/>
        </w:rPr>
        <w:t xml:space="preserve">. </w:t>
      </w:r>
      <w:r w:rsidRPr="00BB4809">
        <w:rPr>
          <w:rStyle w:val="apple-style-span"/>
          <w:rFonts w:ascii="Times New Roman" w:hAnsi="Times New Roman"/>
          <w:sz w:val="24"/>
          <w:lang w:val="en-GB"/>
        </w:rPr>
        <w:t>Let me give an example of someone who tried to take the bull by the horns and relate to this problem.</w:t>
      </w:r>
    </w:p>
    <w:p w:rsidR="001E32DB" w:rsidRPr="00BB4809" w:rsidRDefault="001E32DB" w:rsidP="001E32DB">
      <w:pPr>
        <w:pStyle w:val="Ingetavstnd"/>
        <w:spacing w:line="360" w:lineRule="auto"/>
        <w:ind w:firstLine="142"/>
        <w:rPr>
          <w:rStyle w:val="apple-style-span"/>
          <w:rFonts w:ascii="Times New Roman" w:hAnsi="Times New Roman"/>
          <w:sz w:val="24"/>
          <w:lang w:val="en-GB"/>
        </w:rPr>
      </w:pPr>
    </w:p>
    <w:p w:rsidR="001E32DB" w:rsidRPr="00BB4809" w:rsidRDefault="001E32DB" w:rsidP="001E32DB">
      <w:pPr>
        <w:pStyle w:val="Ingetavstnd"/>
        <w:spacing w:line="360" w:lineRule="auto"/>
        <w:rPr>
          <w:rStyle w:val="apple-style-span"/>
          <w:rFonts w:ascii="Times New Roman" w:hAnsi="Times New Roman"/>
          <w:sz w:val="24"/>
          <w:lang w:val="en-GB"/>
        </w:rPr>
      </w:pPr>
      <w:r w:rsidRPr="00BB4809">
        <w:rPr>
          <w:rStyle w:val="apple-style-span"/>
          <w:rFonts w:ascii="Times New Roman" w:hAnsi="Times New Roman"/>
          <w:sz w:val="24"/>
          <w:lang w:val="en-GB"/>
        </w:rPr>
        <w:t>Kim Vincs’ article “A Case Study in Studio-Based Dance Research” initially mesmerized me</w:t>
      </w:r>
      <w:r>
        <w:rPr>
          <w:rStyle w:val="apple-style-span"/>
          <w:rFonts w:ascii="Times New Roman" w:hAnsi="Times New Roman"/>
          <w:sz w:val="24"/>
          <w:lang w:val="en-GB"/>
        </w:rPr>
        <w:t xml:space="preserve"> as she both pinpoints how much artistic research is conducted and she also presents us with a beautiful theory to elaborate her practice</w:t>
      </w:r>
      <w:r w:rsidRPr="00BB4809">
        <w:rPr>
          <w:rStyle w:val="apple-style-span"/>
          <w:rFonts w:ascii="Times New Roman" w:hAnsi="Times New Roman"/>
          <w:sz w:val="24"/>
          <w:lang w:val="en-GB"/>
        </w:rPr>
        <w:t xml:space="preserve">. She wrote: </w:t>
      </w:r>
    </w:p>
    <w:p w:rsidR="001E32DB" w:rsidRPr="00BB4809" w:rsidRDefault="001E32DB" w:rsidP="001E32DB">
      <w:pPr>
        <w:pStyle w:val="Citat"/>
        <w:rPr>
          <w:rStyle w:val="apple-style-span"/>
          <w:lang w:val="en-GB"/>
        </w:rPr>
      </w:pPr>
      <w:r w:rsidRPr="00BB4809">
        <w:rPr>
          <w:rStyle w:val="apple-style-span"/>
          <w:lang w:val="en-GB"/>
        </w:rPr>
        <w:t>When I began my PhD in dance through practice and exegesis, I will freely confess that I did not have a methodology in place to situate my dance practice in relation to the written exegesis I was to produce.</w:t>
      </w:r>
      <w:r w:rsidRPr="00BB4809">
        <w:rPr>
          <w:rStyle w:val="Fotnotsreferens"/>
          <w:lang w:val="en-GB"/>
        </w:rPr>
        <w:footnoteReference w:id="5"/>
      </w:r>
      <w:r w:rsidRPr="00BB4809">
        <w:rPr>
          <w:rStyle w:val="apple-style-span"/>
          <w:lang w:val="en-GB"/>
        </w:rPr>
        <w:t xml:space="preserve"> </w:t>
      </w:r>
    </w:p>
    <w:p w:rsidR="001E32DB" w:rsidRDefault="001E32DB" w:rsidP="001E32DB">
      <w:pPr>
        <w:pStyle w:val="Ingetavstnd"/>
        <w:spacing w:line="360" w:lineRule="auto"/>
        <w:ind w:firstLine="142"/>
        <w:rPr>
          <w:rStyle w:val="apple-style-span"/>
          <w:rFonts w:ascii="Times New Roman" w:hAnsi="Times New Roman"/>
          <w:sz w:val="24"/>
          <w:lang w:val="en-GB"/>
        </w:rPr>
      </w:pPr>
      <w:r w:rsidRPr="00BB4809">
        <w:rPr>
          <w:rStyle w:val="apple-style-span"/>
          <w:rFonts w:ascii="Times New Roman" w:hAnsi="Times New Roman"/>
          <w:sz w:val="24"/>
          <w:lang w:val="en-GB"/>
        </w:rPr>
        <w:t xml:space="preserve">Is this not how we very often begin? Our question is a mere hunch rather than a full-fledged question. Vincs even admits that she did not have a question but rather she wanted to let her practice bring out questions and issues in her dancing. What she arrived at was an elaborate discussion of her practice in the perspective of Deleuze and Guattari’s theory of the </w:t>
      </w:r>
      <w:r w:rsidRPr="00BB4809">
        <w:rPr>
          <w:rStyle w:val="apple-style-span"/>
          <w:rFonts w:ascii="Times New Roman" w:hAnsi="Times New Roman"/>
          <w:i/>
          <w:sz w:val="24"/>
          <w:lang w:val="en-GB"/>
        </w:rPr>
        <w:t>rhizome</w:t>
      </w:r>
      <w:r w:rsidRPr="00BB4809">
        <w:rPr>
          <w:rStyle w:val="apple-style-span"/>
          <w:rFonts w:ascii="Times New Roman" w:hAnsi="Times New Roman"/>
          <w:sz w:val="24"/>
          <w:lang w:val="en-GB"/>
        </w:rPr>
        <w:t xml:space="preserve">. </w:t>
      </w:r>
      <w:r>
        <w:rPr>
          <w:rStyle w:val="apple-style-span"/>
          <w:rFonts w:ascii="Times New Roman" w:hAnsi="Times New Roman"/>
          <w:sz w:val="24"/>
          <w:lang w:val="en-GB"/>
        </w:rPr>
        <w:t>The word</w:t>
      </w:r>
      <w:r w:rsidRPr="00BB4809">
        <w:rPr>
          <w:rStyle w:val="apple-style-span"/>
          <w:rFonts w:ascii="Times New Roman" w:hAnsi="Times New Roman"/>
          <w:sz w:val="24"/>
          <w:lang w:val="en-GB"/>
        </w:rPr>
        <w:t xml:space="preserve"> </w:t>
      </w:r>
      <w:r>
        <w:rPr>
          <w:rStyle w:val="apple-style-span"/>
          <w:rFonts w:ascii="Times New Roman" w:hAnsi="Times New Roman"/>
          <w:sz w:val="24"/>
          <w:lang w:val="en-GB"/>
        </w:rPr>
        <w:t>‘</w:t>
      </w:r>
      <w:r w:rsidRPr="00BB4809">
        <w:rPr>
          <w:rStyle w:val="apple-style-span"/>
          <w:rFonts w:ascii="Times New Roman" w:hAnsi="Times New Roman"/>
          <w:sz w:val="24"/>
          <w:lang w:val="en-GB"/>
        </w:rPr>
        <w:t>rhizome</w:t>
      </w:r>
      <w:r>
        <w:rPr>
          <w:rStyle w:val="apple-style-span"/>
          <w:rFonts w:ascii="Times New Roman" w:hAnsi="Times New Roman"/>
          <w:sz w:val="24"/>
          <w:lang w:val="en-GB"/>
        </w:rPr>
        <w:t>’</w:t>
      </w:r>
      <w:r w:rsidRPr="00BB4809">
        <w:rPr>
          <w:rStyle w:val="apple-style-span"/>
          <w:rFonts w:ascii="Times New Roman" w:hAnsi="Times New Roman"/>
          <w:sz w:val="24"/>
          <w:lang w:val="en-GB"/>
        </w:rPr>
        <w:t xml:space="preserve"> comes from Ancient Greek and means “mass of roots”.</w:t>
      </w:r>
      <w:r>
        <w:rPr>
          <w:rStyle w:val="Fotnotsreferens"/>
          <w:rFonts w:ascii="Times New Roman" w:hAnsi="Times New Roman"/>
          <w:sz w:val="24"/>
          <w:lang w:val="en-GB"/>
        </w:rPr>
        <w:footnoteReference w:id="6"/>
      </w:r>
      <w:r w:rsidRPr="00BB4809">
        <w:rPr>
          <w:rStyle w:val="apple-style-span"/>
          <w:rFonts w:ascii="Times New Roman" w:hAnsi="Times New Roman"/>
          <w:sz w:val="24"/>
          <w:lang w:val="en-GB"/>
        </w:rPr>
        <w:t xml:space="preserve"> Gingers are rhizomic. They </w:t>
      </w:r>
      <w:r>
        <w:rPr>
          <w:rStyle w:val="apple-style-span"/>
          <w:rFonts w:ascii="Times New Roman" w:hAnsi="Times New Roman"/>
          <w:sz w:val="24"/>
          <w:lang w:val="en-GB"/>
        </w:rPr>
        <w:t xml:space="preserve">grow as </w:t>
      </w:r>
      <w:r w:rsidRPr="00BB4809">
        <w:rPr>
          <w:rStyle w:val="apple-style-span"/>
          <w:rFonts w:ascii="Times New Roman" w:hAnsi="Times New Roman"/>
          <w:sz w:val="24"/>
          <w:lang w:val="en-GB"/>
        </w:rPr>
        <w:t xml:space="preserve">roots in a seemingly un-orderly fashion. No part of the root is hierarchically superior to the others as with a tree where the stem and the crown </w:t>
      </w:r>
      <w:r>
        <w:rPr>
          <w:rStyle w:val="apple-style-span"/>
          <w:rFonts w:ascii="Times New Roman" w:hAnsi="Times New Roman"/>
          <w:sz w:val="24"/>
          <w:lang w:val="en-GB"/>
        </w:rPr>
        <w:t xml:space="preserve">are </w:t>
      </w:r>
      <w:r w:rsidRPr="00BB4809">
        <w:rPr>
          <w:rStyle w:val="apple-style-span"/>
          <w:rFonts w:ascii="Times New Roman" w:hAnsi="Times New Roman"/>
          <w:sz w:val="24"/>
          <w:lang w:val="en-GB"/>
        </w:rPr>
        <w:t xml:space="preserve">put on top of the root system. To Deleuze and Guattari this meant that the rhizome is a </w:t>
      </w:r>
    </w:p>
    <w:p w:rsidR="001E32DB" w:rsidRPr="003D39FF" w:rsidRDefault="001E32DB" w:rsidP="001E32DB">
      <w:pPr>
        <w:pStyle w:val="Citat"/>
        <w:rPr>
          <w:rStyle w:val="apple-style-span"/>
          <w:lang w:val="en-GB"/>
        </w:rPr>
      </w:pPr>
      <w:r w:rsidRPr="003D39FF">
        <w:rPr>
          <w:rStyle w:val="apple-style-span"/>
          <w:lang w:val="en-GB"/>
        </w:rPr>
        <w:t>web of interconnecting elements in which ‘any point of a rhizome can be connected to anything other, and must be (Deleuze and Guattari 1987:7)</w:t>
      </w:r>
      <w:r w:rsidRPr="003D39FF">
        <w:rPr>
          <w:rStyle w:val="Fotnotsreferens"/>
          <w:lang w:val="en-GB"/>
        </w:rPr>
        <w:footnoteReference w:id="7"/>
      </w:r>
      <w:r w:rsidRPr="003D39FF">
        <w:rPr>
          <w:rStyle w:val="apple-style-span"/>
          <w:lang w:val="en-GB"/>
        </w:rPr>
        <w:t xml:space="preserve"> </w:t>
      </w:r>
    </w:p>
    <w:p w:rsidR="001E32DB" w:rsidRPr="00BB4809" w:rsidRDefault="001E32DB" w:rsidP="001E32DB">
      <w:pPr>
        <w:pStyle w:val="Ingetavstnd"/>
        <w:spacing w:line="360" w:lineRule="auto"/>
        <w:ind w:firstLine="142"/>
        <w:rPr>
          <w:rStyle w:val="apple-style-span"/>
          <w:rFonts w:ascii="Times New Roman" w:hAnsi="Times New Roman"/>
          <w:sz w:val="24"/>
          <w:lang w:val="en-GB"/>
        </w:rPr>
      </w:pPr>
      <w:r w:rsidRPr="00BB4809">
        <w:rPr>
          <w:rStyle w:val="apple-style-span"/>
          <w:rFonts w:ascii="Times New Roman" w:hAnsi="Times New Roman"/>
          <w:sz w:val="24"/>
          <w:lang w:val="en-GB"/>
        </w:rPr>
        <w:t>To Vincs this meant:</w:t>
      </w:r>
    </w:p>
    <w:p w:rsidR="001E32DB" w:rsidRPr="00BB4809" w:rsidRDefault="001E32DB" w:rsidP="001E32DB">
      <w:pPr>
        <w:pStyle w:val="Citat"/>
        <w:rPr>
          <w:rStyle w:val="apple-style-span"/>
          <w:lang w:val="en-GB"/>
        </w:rPr>
      </w:pPr>
      <w:r w:rsidRPr="00BB4809">
        <w:rPr>
          <w:rStyle w:val="apple-style-span"/>
          <w:lang w:val="en-GB"/>
        </w:rPr>
        <w:lastRenderedPageBreak/>
        <w:t>To research dance in this context, one must go beyond isolating dance practices as texts to be read, to the idea of dance practice as a field in which rhizomic structures of knowledge are produced and integrally laced through with the subjectivity of the artist.</w:t>
      </w:r>
      <w:r w:rsidRPr="00BB4809">
        <w:rPr>
          <w:rStyle w:val="Fotnotsreferens"/>
          <w:lang w:val="en-GB"/>
        </w:rPr>
        <w:footnoteReference w:id="8"/>
      </w:r>
      <w:r w:rsidRPr="00BB4809">
        <w:rPr>
          <w:rStyle w:val="apple-style-span"/>
          <w:lang w:val="en-GB"/>
        </w:rPr>
        <w:t xml:space="preserve"> </w:t>
      </w:r>
    </w:p>
    <w:p w:rsidR="001E32DB" w:rsidRPr="00BB4809" w:rsidRDefault="001E32DB" w:rsidP="001E32DB">
      <w:pPr>
        <w:pStyle w:val="Ingetavstnd"/>
        <w:spacing w:line="360" w:lineRule="auto"/>
        <w:ind w:firstLine="142"/>
        <w:rPr>
          <w:rStyle w:val="apple-style-span"/>
          <w:rFonts w:ascii="Times New Roman" w:hAnsi="Times New Roman"/>
          <w:sz w:val="24"/>
          <w:lang w:val="en-GB"/>
        </w:rPr>
      </w:pPr>
      <w:r w:rsidRPr="00BB4809">
        <w:rPr>
          <w:rStyle w:val="apple-style-span"/>
          <w:rFonts w:ascii="Times New Roman" w:hAnsi="Times New Roman"/>
          <w:sz w:val="24"/>
          <w:lang w:val="en-GB"/>
        </w:rPr>
        <w:t xml:space="preserve">By reading her practice through Deleuze and Guattari’s </w:t>
      </w:r>
      <w:r w:rsidRPr="00BB4809">
        <w:rPr>
          <w:rStyle w:val="apple-style-span"/>
          <w:rFonts w:ascii="Times New Roman" w:hAnsi="Times New Roman"/>
          <w:i/>
          <w:sz w:val="24"/>
          <w:lang w:val="en-GB"/>
        </w:rPr>
        <w:t>A Thousand Plateaus</w:t>
      </w:r>
      <w:r w:rsidRPr="00BB4809">
        <w:rPr>
          <w:rStyle w:val="apple-style-span"/>
          <w:rFonts w:ascii="Times New Roman" w:hAnsi="Times New Roman"/>
          <w:sz w:val="24"/>
          <w:lang w:val="en-GB"/>
        </w:rPr>
        <w:t>,</w:t>
      </w:r>
      <w:r w:rsidRPr="00BB4809">
        <w:rPr>
          <w:rStyle w:val="Fotnotsreferens"/>
          <w:rFonts w:ascii="Times New Roman" w:hAnsi="Times New Roman"/>
          <w:sz w:val="24"/>
          <w:lang w:val="en-GB"/>
        </w:rPr>
        <w:footnoteReference w:id="9"/>
      </w:r>
      <w:r w:rsidRPr="00BB4809">
        <w:rPr>
          <w:rStyle w:val="apple-style-span"/>
          <w:rFonts w:ascii="Times New Roman" w:hAnsi="Times New Roman"/>
          <w:sz w:val="24"/>
          <w:lang w:val="en-GB"/>
        </w:rPr>
        <w:t xml:space="preserve"> she can get a language to describe how and why her subjectivity must be </w:t>
      </w:r>
      <w:r>
        <w:rPr>
          <w:rStyle w:val="apple-style-span"/>
          <w:rFonts w:ascii="Times New Roman" w:hAnsi="Times New Roman"/>
          <w:sz w:val="24"/>
          <w:lang w:val="en-GB"/>
        </w:rPr>
        <w:t>part of the rhizomic</w:t>
      </w:r>
      <w:r w:rsidRPr="00BB4809">
        <w:rPr>
          <w:rStyle w:val="apple-style-span"/>
          <w:rFonts w:ascii="Times New Roman" w:hAnsi="Times New Roman"/>
          <w:sz w:val="24"/>
          <w:lang w:val="en-GB"/>
        </w:rPr>
        <w:t xml:space="preserve"> web. She can lay out a theory of art practice where there are no master signifiers, but where art is a play of signification that avoids to be frozen</w:t>
      </w:r>
      <w:r>
        <w:rPr>
          <w:rStyle w:val="apple-style-span"/>
          <w:rFonts w:ascii="Times New Roman" w:hAnsi="Times New Roman"/>
          <w:sz w:val="24"/>
          <w:lang w:val="en-GB"/>
        </w:rPr>
        <w:t xml:space="preserve"> into finite structures</w:t>
      </w:r>
      <w:r w:rsidRPr="00BB4809">
        <w:rPr>
          <w:rStyle w:val="apple-style-span"/>
          <w:rFonts w:ascii="Times New Roman" w:hAnsi="Times New Roman"/>
          <w:sz w:val="24"/>
          <w:lang w:val="en-GB"/>
        </w:rPr>
        <w:t xml:space="preserve">. She very beautifully lays out Nietzsche’s idea that: </w:t>
      </w:r>
    </w:p>
    <w:p w:rsidR="001E32DB" w:rsidRPr="00F04715" w:rsidRDefault="001E32DB" w:rsidP="001E32DB">
      <w:pPr>
        <w:pStyle w:val="Ingetavstnd"/>
        <w:spacing w:line="360" w:lineRule="auto"/>
        <w:ind w:firstLine="142"/>
        <w:rPr>
          <w:rStyle w:val="apple-style-span"/>
          <w:rFonts w:ascii="Times New Roman" w:hAnsi="Times New Roman"/>
          <w:sz w:val="24"/>
          <w:lang w:val="nb-NO"/>
        </w:rPr>
      </w:pPr>
      <w:r w:rsidRPr="00BB4809">
        <w:rPr>
          <w:rFonts w:ascii="Calibri" w:eastAsia="Calibri" w:hAnsi="Calibri" w:cs="Times New Roman"/>
          <w:lang w:val="en-GB"/>
        </w:rPr>
        <w:t xml:space="preserve">vi er ikke </w:t>
      </w:r>
      <w:r w:rsidRPr="00BB4809">
        <w:rPr>
          <w:rFonts w:ascii="Calibri" w:eastAsia="Calibri" w:hAnsi="Calibri" w:cs="Times New Roman"/>
          <w:i/>
          <w:lang w:val="en-GB"/>
        </w:rPr>
        <w:t>subtile</w:t>
      </w:r>
      <w:r w:rsidRPr="00BB4809">
        <w:rPr>
          <w:rFonts w:ascii="Calibri" w:eastAsia="Calibri" w:hAnsi="Calibri" w:cs="Times New Roman"/>
          <w:lang w:val="en-GB"/>
        </w:rPr>
        <w:t xml:space="preserve"> nok til å merke det </w:t>
      </w:r>
      <w:r w:rsidRPr="00BB4809">
        <w:rPr>
          <w:rFonts w:ascii="Calibri" w:eastAsia="Calibri" w:hAnsi="Calibri" w:cs="Times New Roman"/>
          <w:i/>
          <w:lang w:val="en-GB"/>
        </w:rPr>
        <w:t>vordendes</w:t>
      </w:r>
      <w:r w:rsidRPr="00BB4809">
        <w:rPr>
          <w:rFonts w:ascii="Calibri" w:eastAsia="Calibri" w:hAnsi="Calibri" w:cs="Times New Roman"/>
          <w:lang w:val="en-GB"/>
        </w:rPr>
        <w:t xml:space="preserve"> [tillblivandes] sannsynligvis </w:t>
      </w:r>
      <w:r w:rsidRPr="00BB4809">
        <w:rPr>
          <w:rFonts w:ascii="Calibri" w:eastAsia="Calibri" w:hAnsi="Calibri" w:cs="Times New Roman"/>
          <w:i/>
          <w:lang w:val="en-GB"/>
        </w:rPr>
        <w:t>absolutte strøm</w:t>
      </w:r>
      <w:r w:rsidRPr="00BB4809">
        <w:rPr>
          <w:rFonts w:ascii="Calibri" w:eastAsia="Calibri" w:hAnsi="Calibri" w:cs="Times New Roman"/>
          <w:lang w:val="en-GB"/>
        </w:rPr>
        <w:t xml:space="preserve">; det </w:t>
      </w:r>
      <w:r w:rsidRPr="00BB4809">
        <w:rPr>
          <w:rFonts w:ascii="Calibri" w:eastAsia="Calibri" w:hAnsi="Calibri" w:cs="Times New Roman"/>
          <w:i/>
          <w:lang w:val="en-GB"/>
        </w:rPr>
        <w:t>varige</w:t>
      </w:r>
      <w:r w:rsidRPr="00BB4809">
        <w:rPr>
          <w:rFonts w:ascii="Calibri" w:eastAsia="Calibri" w:hAnsi="Calibri" w:cs="Times New Roman"/>
          <w:lang w:val="en-GB"/>
        </w:rPr>
        <w:t xml:space="preserve"> kan vi takke våre grovinnstilte organer for, de som sammenfatter alt og bringer tingene ned på felles plan, mens jo ingenting eksisterer </w:t>
      </w:r>
      <w:r w:rsidRPr="00BB4809">
        <w:rPr>
          <w:rFonts w:ascii="Calibri" w:eastAsia="Calibri" w:hAnsi="Calibri" w:cs="Times New Roman"/>
          <w:i/>
          <w:lang w:val="en-GB"/>
        </w:rPr>
        <w:t>i denne form</w:t>
      </w:r>
      <w:r w:rsidRPr="00BB4809">
        <w:rPr>
          <w:rFonts w:ascii="Calibri" w:eastAsia="Calibri" w:hAnsi="Calibri" w:cs="Times New Roman"/>
          <w:lang w:val="en-GB"/>
        </w:rPr>
        <w:t xml:space="preserve">. </w:t>
      </w:r>
      <w:r w:rsidRPr="00F04715">
        <w:rPr>
          <w:rFonts w:ascii="Calibri" w:eastAsia="Calibri" w:hAnsi="Calibri" w:cs="Times New Roman"/>
          <w:lang w:val="nb-NO"/>
        </w:rPr>
        <w:t xml:space="preserve">Treet er hvert øyeblikk en ny ting, vi hengir oss til </w:t>
      </w:r>
      <w:r w:rsidRPr="00F04715">
        <w:rPr>
          <w:rFonts w:ascii="Calibri" w:eastAsia="Calibri" w:hAnsi="Calibri" w:cs="Times New Roman"/>
          <w:i/>
          <w:lang w:val="nb-NO"/>
        </w:rPr>
        <w:t>formen</w:t>
      </w:r>
      <w:r w:rsidRPr="00F04715">
        <w:rPr>
          <w:rFonts w:ascii="Calibri" w:eastAsia="Calibri" w:hAnsi="Calibri" w:cs="Times New Roman"/>
          <w:lang w:val="nb-NO"/>
        </w:rPr>
        <w:t xml:space="preserve"> fordi vi ikke fatter subtiliteten i en absolutt bevegelse.</w:t>
      </w:r>
    </w:p>
    <w:p w:rsidR="001E32DB" w:rsidRDefault="001E32DB" w:rsidP="001E32DB">
      <w:pPr>
        <w:pStyle w:val="Ingetavstnd"/>
        <w:spacing w:line="360" w:lineRule="auto"/>
        <w:ind w:firstLine="142"/>
        <w:rPr>
          <w:rFonts w:ascii="Times New Roman" w:hAnsi="Times New Roman"/>
          <w:sz w:val="24"/>
          <w:lang w:val="en-GB"/>
        </w:rPr>
      </w:pPr>
      <w:r w:rsidRPr="00BB4809">
        <w:rPr>
          <w:rStyle w:val="apple-style-span"/>
          <w:rFonts w:ascii="Times New Roman" w:hAnsi="Times New Roman"/>
          <w:sz w:val="24"/>
          <w:lang w:val="en-GB"/>
        </w:rPr>
        <w:t xml:space="preserve">Yes, what Vincs has written is a beautiful account of an artistic process. Or is it? Although I was initially fascinated, the more I read the more I felt that something was lacking. What is her research really </w:t>
      </w:r>
      <w:r w:rsidRPr="00BB4809">
        <w:rPr>
          <w:rStyle w:val="apple-style-span"/>
          <w:rFonts w:ascii="Times New Roman" w:hAnsi="Times New Roman"/>
          <w:i/>
          <w:sz w:val="24"/>
          <w:lang w:val="en-GB"/>
        </w:rPr>
        <w:t>about</w:t>
      </w:r>
      <w:r w:rsidRPr="00BB4809">
        <w:rPr>
          <w:rStyle w:val="apple-style-span"/>
          <w:rFonts w:ascii="Times New Roman" w:hAnsi="Times New Roman"/>
          <w:sz w:val="24"/>
          <w:lang w:val="en-GB"/>
        </w:rPr>
        <w:t xml:space="preserve">? I </w:t>
      </w:r>
      <w:r>
        <w:rPr>
          <w:rStyle w:val="apple-style-span"/>
          <w:rFonts w:ascii="Times New Roman" w:hAnsi="Times New Roman"/>
          <w:sz w:val="24"/>
          <w:lang w:val="en-GB"/>
        </w:rPr>
        <w:t xml:space="preserve">would </w:t>
      </w:r>
      <w:r w:rsidRPr="00BB4809">
        <w:rPr>
          <w:rStyle w:val="apple-style-span"/>
          <w:rFonts w:ascii="Times New Roman" w:hAnsi="Times New Roman"/>
          <w:sz w:val="24"/>
          <w:lang w:val="en-GB"/>
        </w:rPr>
        <w:t xml:space="preserve">say that her answer is somewhat more interesting than </w:t>
      </w:r>
      <w:r w:rsidRPr="00BB4809">
        <w:rPr>
          <w:rStyle w:val="apple-style-span"/>
          <w:rFonts w:ascii="Times New Roman" w:hAnsi="Times New Roman"/>
          <w:i/>
          <w:sz w:val="24"/>
          <w:lang w:val="en-GB"/>
        </w:rPr>
        <w:t>42</w:t>
      </w:r>
      <w:r w:rsidRPr="00BB4809">
        <w:rPr>
          <w:rStyle w:val="apple-style-span"/>
          <w:rFonts w:ascii="Times New Roman" w:hAnsi="Times New Roman"/>
          <w:sz w:val="24"/>
          <w:lang w:val="en-GB"/>
        </w:rPr>
        <w:t>, but it is of the same structure. What is most remarkable is that she simply did not have a research question other than “to situate [her] dance practice in relation to the written exegesis that [she] was to produce.”</w:t>
      </w:r>
      <w:r w:rsidRPr="00BB4809">
        <w:rPr>
          <w:rStyle w:val="Fotnotsreferens"/>
          <w:rFonts w:ascii="Times New Roman" w:hAnsi="Times New Roman"/>
          <w:sz w:val="24"/>
          <w:lang w:val="en-GB"/>
        </w:rPr>
        <w:footnoteReference w:id="10"/>
      </w:r>
      <w:r w:rsidRPr="00BB4809">
        <w:rPr>
          <w:rStyle w:val="apple-style-span"/>
          <w:rFonts w:ascii="Times New Roman" w:hAnsi="Times New Roman"/>
          <w:sz w:val="24"/>
          <w:lang w:val="en-GB"/>
        </w:rPr>
        <w:t xml:space="preserve"> </w:t>
      </w:r>
      <w:r>
        <w:rPr>
          <w:rStyle w:val="apple-style-span"/>
          <w:rFonts w:ascii="Times New Roman" w:hAnsi="Times New Roman"/>
          <w:sz w:val="24"/>
          <w:lang w:val="en-GB"/>
        </w:rPr>
        <w:t xml:space="preserve">As she begins to write she comes to argue that the research is conducted with the researcher’s part-taking subjectivity as part of the empirical material, but we are not </w:t>
      </w:r>
      <w:r>
        <w:rPr>
          <w:rFonts w:ascii="Times New Roman" w:hAnsi="Times New Roman"/>
          <w:sz w:val="24"/>
          <w:lang w:val="en-GB"/>
        </w:rPr>
        <w:t xml:space="preserve">informed about </w:t>
      </w:r>
      <w:r w:rsidRPr="00492775">
        <w:rPr>
          <w:rFonts w:ascii="Times New Roman" w:hAnsi="Times New Roman"/>
          <w:sz w:val="24"/>
          <w:lang w:val="en-GB"/>
        </w:rPr>
        <w:t>which</w:t>
      </w:r>
      <w:r>
        <w:rPr>
          <w:rFonts w:ascii="Times New Roman" w:hAnsi="Times New Roman"/>
          <w:i/>
          <w:sz w:val="24"/>
          <w:lang w:val="en-GB"/>
        </w:rPr>
        <w:t xml:space="preserve"> </w:t>
      </w:r>
      <w:r>
        <w:rPr>
          <w:rFonts w:ascii="Times New Roman" w:hAnsi="Times New Roman"/>
          <w:sz w:val="24"/>
          <w:lang w:val="en-GB"/>
        </w:rPr>
        <w:t>subjective actions in her research process actually led to the theory. She fails to use the method she so thoroughly describes, and thus there is a leap between her exegesis and practice rather than the two being part of one and the same rhizome.</w:t>
      </w:r>
    </w:p>
    <w:p w:rsidR="001E32DB" w:rsidRPr="00BB4809" w:rsidRDefault="001E32DB" w:rsidP="001E32DB">
      <w:pPr>
        <w:pStyle w:val="Ingetavstnd"/>
        <w:spacing w:line="360" w:lineRule="auto"/>
        <w:ind w:firstLine="142"/>
        <w:rPr>
          <w:rFonts w:ascii="Times New Roman" w:hAnsi="Times New Roman"/>
          <w:sz w:val="24"/>
          <w:lang w:val="en-GB"/>
        </w:rPr>
      </w:pPr>
      <w:r w:rsidRPr="00BB4809">
        <w:rPr>
          <w:rStyle w:val="apple-style-span"/>
          <w:rFonts w:ascii="Times New Roman" w:hAnsi="Times New Roman"/>
          <w:sz w:val="24"/>
          <w:lang w:val="en-GB"/>
        </w:rPr>
        <w:t>How</w:t>
      </w:r>
      <w:r>
        <w:rPr>
          <w:rStyle w:val="apple-style-span"/>
          <w:rFonts w:ascii="Times New Roman" w:hAnsi="Times New Roman"/>
          <w:sz w:val="24"/>
          <w:lang w:val="en-GB"/>
        </w:rPr>
        <w:t xml:space="preserve"> then, </w:t>
      </w:r>
      <w:r w:rsidRPr="00BB4809">
        <w:rPr>
          <w:rStyle w:val="apple-style-span"/>
          <w:rFonts w:ascii="Times New Roman" w:hAnsi="Times New Roman"/>
          <w:sz w:val="24"/>
          <w:lang w:val="en-GB"/>
        </w:rPr>
        <w:t>could</w:t>
      </w:r>
      <w:r>
        <w:rPr>
          <w:rStyle w:val="apple-style-span"/>
          <w:rFonts w:ascii="Times New Roman" w:hAnsi="Times New Roman"/>
          <w:sz w:val="24"/>
          <w:lang w:val="en-GB"/>
        </w:rPr>
        <w:t xml:space="preserve"> </w:t>
      </w:r>
      <w:r w:rsidRPr="00BB4809">
        <w:rPr>
          <w:rStyle w:val="apple-style-span"/>
          <w:rFonts w:ascii="Times New Roman" w:hAnsi="Times New Roman"/>
          <w:sz w:val="24"/>
          <w:lang w:val="en-GB"/>
        </w:rPr>
        <w:t>a successful artistic research question be formulated? Although John Cage probably never heard of the term ‘Artistic Research</w:t>
      </w:r>
      <w:r>
        <w:rPr>
          <w:rStyle w:val="apple-style-span"/>
          <w:rFonts w:ascii="Times New Roman" w:hAnsi="Times New Roman"/>
          <w:sz w:val="24"/>
          <w:lang w:val="en-GB"/>
        </w:rPr>
        <w:t>er</w:t>
      </w:r>
      <w:r w:rsidRPr="00BB4809">
        <w:rPr>
          <w:rStyle w:val="apple-style-span"/>
          <w:rFonts w:ascii="Times New Roman" w:hAnsi="Times New Roman"/>
          <w:sz w:val="24"/>
          <w:lang w:val="en-GB"/>
        </w:rPr>
        <w:t>’, he could be seen as one. Arnold Schoenberg called him “an inventor of genius”,</w:t>
      </w:r>
      <w:r w:rsidRPr="00BB4809">
        <w:rPr>
          <w:rStyle w:val="Fotnotsreferens"/>
          <w:rFonts w:ascii="Times New Roman" w:hAnsi="Times New Roman"/>
          <w:sz w:val="24"/>
          <w:lang w:val="en-GB"/>
        </w:rPr>
        <w:footnoteReference w:id="11"/>
      </w:r>
      <w:r w:rsidRPr="00BB4809">
        <w:rPr>
          <w:rStyle w:val="apple-style-span"/>
          <w:rFonts w:ascii="Times New Roman" w:hAnsi="Times New Roman"/>
          <w:sz w:val="24"/>
          <w:lang w:val="en-GB"/>
        </w:rPr>
        <w:t xml:space="preserve"> and every ounce of Cage’s practice bears the attitude of artistic research. In 1976, for the bicentennial celebrations of the constitution, he wrote </w:t>
      </w:r>
      <w:r w:rsidRPr="00BB4809">
        <w:rPr>
          <w:rStyle w:val="apple-style-span"/>
          <w:rFonts w:ascii="Times New Roman" w:hAnsi="Times New Roman"/>
          <w:i/>
          <w:sz w:val="24"/>
          <w:lang w:val="en-GB"/>
        </w:rPr>
        <w:t>Apartment House 1776</w:t>
      </w:r>
      <w:r w:rsidRPr="00BB4809">
        <w:rPr>
          <w:rStyle w:val="apple-style-span"/>
          <w:rFonts w:ascii="Times New Roman" w:hAnsi="Times New Roman"/>
          <w:sz w:val="24"/>
          <w:lang w:val="en-GB"/>
        </w:rPr>
        <w:t xml:space="preserve">, based on </w:t>
      </w:r>
      <w:r w:rsidRPr="00BB4809">
        <w:rPr>
          <w:rFonts w:ascii="Times New Roman" w:hAnsi="Times New Roman"/>
          <w:sz w:val="24"/>
          <w:lang w:val="en-GB"/>
        </w:rPr>
        <w:t>“forty-four pieces of four-part choral music by William Billings and other Americ</w:t>
      </w:r>
      <w:r>
        <w:rPr>
          <w:rFonts w:ascii="Times New Roman" w:hAnsi="Times New Roman"/>
          <w:sz w:val="24"/>
          <w:lang w:val="en-GB"/>
        </w:rPr>
        <w:t xml:space="preserve">an composers”. What Cage wanted to accomplish with the music he wrote, in </w:t>
      </w:r>
      <w:r>
        <w:rPr>
          <w:rFonts w:ascii="Times New Roman" w:hAnsi="Times New Roman"/>
          <w:i/>
          <w:sz w:val="24"/>
          <w:lang w:val="en-GB"/>
        </w:rPr>
        <w:t>Apartment House 1776</w:t>
      </w:r>
      <w:r>
        <w:rPr>
          <w:rFonts w:ascii="Times New Roman" w:hAnsi="Times New Roman"/>
          <w:sz w:val="24"/>
          <w:lang w:val="en-GB"/>
        </w:rPr>
        <w:t xml:space="preserve"> and with his music in general, </w:t>
      </w:r>
      <w:r w:rsidRPr="00BB4809">
        <w:rPr>
          <w:rFonts w:ascii="Times New Roman" w:hAnsi="Times New Roman"/>
          <w:sz w:val="24"/>
          <w:lang w:val="en-GB"/>
        </w:rPr>
        <w:t>was to make “each sound vibrate […] from itself, not from a theory.”</w:t>
      </w:r>
      <w:r w:rsidRPr="00BB4809">
        <w:rPr>
          <w:rStyle w:val="Fotnotsreferens"/>
          <w:rFonts w:ascii="Times New Roman" w:hAnsi="Times New Roman"/>
          <w:sz w:val="24"/>
          <w:lang w:val="en-GB"/>
        </w:rPr>
        <w:footnoteReference w:id="12"/>
      </w:r>
      <w:r w:rsidRPr="00BB4809">
        <w:rPr>
          <w:rFonts w:ascii="Times New Roman" w:hAnsi="Times New Roman"/>
          <w:sz w:val="24"/>
          <w:lang w:val="en-GB"/>
        </w:rPr>
        <w:t xml:space="preserve"> He also wanted to write music so difficult </w:t>
      </w:r>
      <w:r w:rsidRPr="00BB4809">
        <w:rPr>
          <w:rFonts w:ascii="Times New Roman" w:hAnsi="Times New Roman"/>
          <w:sz w:val="24"/>
          <w:lang w:val="en-GB"/>
        </w:rPr>
        <w:lastRenderedPageBreak/>
        <w:t xml:space="preserve">to understand that not even he could understand it. In this context, understanding means that one should not be able to follow the music, and that </w:t>
      </w:r>
      <w:r>
        <w:rPr>
          <w:rFonts w:ascii="Times New Roman" w:hAnsi="Times New Roman"/>
          <w:sz w:val="24"/>
          <w:lang w:val="en-GB"/>
        </w:rPr>
        <w:t xml:space="preserve">the music </w:t>
      </w:r>
      <w:r w:rsidRPr="00BB4809">
        <w:rPr>
          <w:rFonts w:ascii="Times New Roman" w:hAnsi="Times New Roman"/>
          <w:sz w:val="24"/>
          <w:lang w:val="en-GB"/>
        </w:rPr>
        <w:t>should avoid conventional means of signification. With such aims he began re-composing the old choral music with the help of chance operations. His first result was</w:t>
      </w:r>
      <w:r>
        <w:rPr>
          <w:rFonts w:ascii="Times New Roman" w:hAnsi="Times New Roman"/>
          <w:sz w:val="24"/>
          <w:lang w:val="en-GB"/>
        </w:rPr>
        <w:t>, in his own word:</w:t>
      </w:r>
      <w:r w:rsidRPr="00BB4809">
        <w:rPr>
          <w:rFonts w:ascii="Times New Roman" w:hAnsi="Times New Roman"/>
          <w:sz w:val="24"/>
          <w:lang w:val="en-GB"/>
        </w:rPr>
        <w:t xml:space="preserve"> “superficial”.</w:t>
      </w:r>
      <w:r w:rsidRPr="00BB4809">
        <w:rPr>
          <w:rStyle w:val="Fotnotsreferens"/>
          <w:rFonts w:ascii="Times New Roman" w:hAnsi="Times New Roman"/>
          <w:sz w:val="24"/>
          <w:lang w:val="en-GB"/>
        </w:rPr>
        <w:footnoteReference w:id="13"/>
      </w:r>
      <w:r w:rsidRPr="00BB4809">
        <w:rPr>
          <w:rFonts w:ascii="Times New Roman" w:hAnsi="Times New Roman"/>
          <w:sz w:val="24"/>
          <w:lang w:val="en-GB"/>
        </w:rPr>
        <w:t xml:space="preserve"> It resembled the original too much and it did not allow him to get away from “what was so obnoxious to me: its harmonic tonality.”</w:t>
      </w:r>
      <w:r w:rsidRPr="00BB4809">
        <w:rPr>
          <w:rStyle w:val="Fotnotsreferens"/>
          <w:rFonts w:ascii="Times New Roman" w:hAnsi="Times New Roman"/>
          <w:sz w:val="24"/>
          <w:lang w:val="en-GB"/>
        </w:rPr>
        <w:footnoteReference w:id="14"/>
      </w:r>
      <w:r w:rsidRPr="00BB4809">
        <w:rPr>
          <w:rFonts w:ascii="Times New Roman" w:hAnsi="Times New Roman"/>
          <w:sz w:val="24"/>
          <w:lang w:val="en-GB"/>
        </w:rPr>
        <w:t xml:space="preserve"> The answer, the music that is, is understood and can only be understood through the research question. The answer was not to his likings. In order to find the answer he was looking </w:t>
      </w:r>
      <w:r>
        <w:rPr>
          <w:rFonts w:ascii="Times New Roman" w:hAnsi="Times New Roman"/>
          <w:sz w:val="24"/>
          <w:lang w:val="en-GB"/>
        </w:rPr>
        <w:t xml:space="preserve">for </w:t>
      </w:r>
      <w:r w:rsidRPr="00BB4809">
        <w:rPr>
          <w:rFonts w:ascii="Times New Roman" w:hAnsi="Times New Roman"/>
          <w:sz w:val="24"/>
          <w:lang w:val="en-GB"/>
        </w:rPr>
        <w:t>he had to make adjustments. He did not change the question. He still wanted to avoid the obnoxious harmonic tonality, but in order to arrive at an answer that was to his likings, he changed the method; and that is an entity I have thus far not discussed.</w:t>
      </w:r>
    </w:p>
    <w:p w:rsidR="001E32DB" w:rsidRPr="00BB4809" w:rsidRDefault="001E32DB" w:rsidP="001E32DB">
      <w:pPr>
        <w:pStyle w:val="Ingetavstnd"/>
        <w:spacing w:line="360" w:lineRule="auto"/>
        <w:ind w:firstLine="142"/>
        <w:rPr>
          <w:rFonts w:ascii="Times New Roman" w:hAnsi="Times New Roman"/>
          <w:sz w:val="24"/>
          <w:lang w:val="en-GB"/>
        </w:rPr>
      </w:pPr>
      <w:r w:rsidRPr="00BB4809">
        <w:rPr>
          <w:rFonts w:ascii="Times New Roman" w:hAnsi="Times New Roman"/>
          <w:sz w:val="24"/>
          <w:lang w:val="en-GB"/>
        </w:rPr>
        <w:t>So, with a new method he re-composed the work again twice until he arrived at a version which he found “brilliant” and “marvelous”.</w:t>
      </w:r>
      <w:r w:rsidRPr="00BB4809">
        <w:rPr>
          <w:rStyle w:val="Fotnotsreferens"/>
          <w:rFonts w:ascii="Times New Roman" w:hAnsi="Times New Roman"/>
          <w:sz w:val="24"/>
          <w:lang w:val="en-GB"/>
        </w:rPr>
        <w:footnoteReference w:id="15"/>
      </w:r>
      <w:r w:rsidRPr="00BB4809">
        <w:rPr>
          <w:rFonts w:ascii="Times New Roman" w:hAnsi="Times New Roman"/>
          <w:sz w:val="24"/>
          <w:lang w:val="en-GB"/>
        </w:rPr>
        <w:t xml:space="preserve"> That meant that he could not follow it, that he had managed to write a piece of music where his role as author was questionable, and which avoided traditional signification.</w:t>
      </w:r>
    </w:p>
    <w:p w:rsidR="001E32DB" w:rsidRPr="00BB4809" w:rsidRDefault="001E32DB" w:rsidP="001E32DB">
      <w:pPr>
        <w:pStyle w:val="Ingetavstnd"/>
        <w:spacing w:line="360" w:lineRule="auto"/>
        <w:ind w:firstLine="142"/>
        <w:rPr>
          <w:rFonts w:ascii="Times New Roman" w:hAnsi="Times New Roman"/>
          <w:sz w:val="24"/>
          <w:lang w:val="en-GB"/>
        </w:rPr>
      </w:pPr>
    </w:p>
    <w:p w:rsidR="001E32DB" w:rsidRDefault="001E32DB" w:rsidP="001E32DB">
      <w:pPr>
        <w:pStyle w:val="Ingetavstnd"/>
        <w:spacing w:line="360" w:lineRule="auto"/>
        <w:ind w:firstLine="142"/>
        <w:rPr>
          <w:rFonts w:ascii="Times New Roman" w:hAnsi="Times New Roman"/>
          <w:sz w:val="24"/>
          <w:lang w:val="en-GB"/>
        </w:rPr>
      </w:pPr>
      <w:r w:rsidRPr="00BB4809">
        <w:rPr>
          <w:rFonts w:ascii="Times New Roman" w:hAnsi="Times New Roman"/>
          <w:sz w:val="24"/>
          <w:lang w:val="en-GB"/>
        </w:rPr>
        <w:t xml:space="preserve">The simple theory I have argued in favour of </w:t>
      </w:r>
      <w:r>
        <w:rPr>
          <w:rFonts w:ascii="Times New Roman" w:hAnsi="Times New Roman"/>
          <w:sz w:val="24"/>
          <w:lang w:val="en-GB"/>
        </w:rPr>
        <w:t xml:space="preserve">is that </w:t>
      </w:r>
      <w:r>
        <w:rPr>
          <w:rFonts w:ascii="Times New Roman" w:hAnsi="Times New Roman"/>
          <w:i/>
          <w:sz w:val="24"/>
          <w:lang w:val="en-GB"/>
        </w:rPr>
        <w:t>question and answer are reciprocally related</w:t>
      </w:r>
      <w:r>
        <w:rPr>
          <w:rFonts w:ascii="Times New Roman" w:hAnsi="Times New Roman"/>
          <w:sz w:val="24"/>
          <w:lang w:val="en-GB"/>
        </w:rPr>
        <w:t xml:space="preserve">. With Cage’s </w:t>
      </w:r>
      <w:r>
        <w:rPr>
          <w:rFonts w:ascii="Times New Roman" w:hAnsi="Times New Roman"/>
          <w:i/>
          <w:sz w:val="24"/>
          <w:lang w:val="en-GB"/>
        </w:rPr>
        <w:t>Apartment House 1776</w:t>
      </w:r>
      <w:r>
        <w:rPr>
          <w:rFonts w:ascii="Times New Roman" w:hAnsi="Times New Roman"/>
          <w:sz w:val="24"/>
          <w:lang w:val="en-GB"/>
        </w:rPr>
        <w:t xml:space="preserve"> it ought to be clear that question and answer are related. What is also clear is </w:t>
      </w:r>
      <w:r>
        <w:rPr>
          <w:rFonts w:ascii="Times New Roman" w:hAnsi="Times New Roman"/>
          <w:i/>
          <w:sz w:val="24"/>
          <w:lang w:val="en-GB"/>
        </w:rPr>
        <w:t>how</w:t>
      </w:r>
      <w:r>
        <w:rPr>
          <w:rFonts w:ascii="Times New Roman" w:hAnsi="Times New Roman"/>
          <w:sz w:val="24"/>
          <w:lang w:val="en-GB"/>
        </w:rPr>
        <w:t xml:space="preserve"> they are related, and that is through the method. As the answer is inherent to the question, so must the art of the relation between question and method be elaborated through the method. If this paper survives the transition to an article, the role of method in relation to questions and answers will be elaborated further. Although I have argued that question and answer must be in somewhat the same type/format/entity, there must also be a difference. Method will be what bridges this difference. Similarity between question and answer is as little an aim as clarity is an ideal for the answer. If there is identity between question and answer, then we merely get to know what we already knew, but a productive artistic answer must give us more knowledge than we already had. ‘Method’ is what gives the legend to how we can understand the premises for how question and answer are related. Method may even be our primary entity that we ask through so that our research question as a matter of fact asks for the development of a method.</w:t>
      </w:r>
    </w:p>
    <w:p w:rsidR="001E32DB" w:rsidRDefault="001E32DB" w:rsidP="001E32DB">
      <w:pPr>
        <w:pStyle w:val="Ingetavstnd"/>
        <w:spacing w:line="360" w:lineRule="auto"/>
        <w:ind w:firstLine="142"/>
        <w:rPr>
          <w:rFonts w:ascii="Times New Roman" w:hAnsi="Times New Roman"/>
          <w:sz w:val="24"/>
          <w:lang w:val="en-GB"/>
        </w:rPr>
      </w:pPr>
    </w:p>
    <w:p w:rsidR="001E32DB" w:rsidRDefault="001E32DB" w:rsidP="001E32DB">
      <w:pPr>
        <w:pStyle w:val="Ingetavstnd"/>
        <w:spacing w:line="360" w:lineRule="auto"/>
        <w:ind w:firstLine="142"/>
        <w:rPr>
          <w:rFonts w:ascii="Times New Roman" w:hAnsi="Times New Roman"/>
          <w:sz w:val="24"/>
          <w:lang w:val="en-GB"/>
        </w:rPr>
      </w:pPr>
      <w:r>
        <w:rPr>
          <w:rFonts w:ascii="Times New Roman" w:hAnsi="Times New Roman"/>
          <w:sz w:val="24"/>
          <w:lang w:val="en-GB"/>
        </w:rPr>
        <w:lastRenderedPageBreak/>
        <w:t>Before I round off I wish to mention four consequences of the above discussed model and I want to make some additions to further clarify the theory.</w:t>
      </w:r>
    </w:p>
    <w:p w:rsidR="001E32DB" w:rsidRDefault="001E32DB" w:rsidP="001E32DB">
      <w:pPr>
        <w:pStyle w:val="Ingetavstnd"/>
        <w:spacing w:line="360" w:lineRule="auto"/>
        <w:ind w:firstLine="142"/>
        <w:rPr>
          <w:rFonts w:ascii="Times New Roman" w:hAnsi="Times New Roman"/>
          <w:sz w:val="24"/>
          <w:lang w:val="en-GB"/>
        </w:rPr>
      </w:pPr>
      <w:r>
        <w:rPr>
          <w:rFonts w:ascii="Times New Roman" w:hAnsi="Times New Roman"/>
          <w:sz w:val="24"/>
          <w:lang w:val="en-GB"/>
        </w:rPr>
        <w:t xml:space="preserve">1) Although I claimed that Cage’s </w:t>
      </w:r>
      <w:r>
        <w:rPr>
          <w:rFonts w:ascii="Times New Roman" w:hAnsi="Times New Roman"/>
          <w:i/>
          <w:sz w:val="24"/>
          <w:lang w:val="en-GB"/>
        </w:rPr>
        <w:t>Apartment House 1776</w:t>
      </w:r>
      <w:r>
        <w:rPr>
          <w:rFonts w:ascii="Times New Roman" w:hAnsi="Times New Roman"/>
          <w:sz w:val="24"/>
          <w:lang w:val="en-GB"/>
        </w:rPr>
        <w:t xml:space="preserve"> was a successful example of artistic research, could or should it be considered as artistic research? In the state that Cage left his work, we must answer a simple </w:t>
      </w:r>
      <w:r w:rsidRPr="00492775">
        <w:rPr>
          <w:rFonts w:ascii="Times New Roman" w:hAnsi="Times New Roman"/>
          <w:i/>
          <w:sz w:val="24"/>
          <w:lang w:val="en-GB"/>
        </w:rPr>
        <w:t>no</w:t>
      </w:r>
      <w:r>
        <w:rPr>
          <w:rFonts w:ascii="Times New Roman" w:hAnsi="Times New Roman"/>
          <w:sz w:val="24"/>
          <w:lang w:val="en-GB"/>
        </w:rPr>
        <w:t xml:space="preserve">. We can discuss how clear the research question must be, and although I argue that it can be far from clear-cut, and although I also argue that an answer could be sung or grunted, it must always be clear what the research is </w:t>
      </w:r>
      <w:r>
        <w:rPr>
          <w:rFonts w:ascii="Times New Roman" w:hAnsi="Times New Roman"/>
          <w:i/>
          <w:sz w:val="24"/>
          <w:lang w:val="en-GB"/>
        </w:rPr>
        <w:t>about</w:t>
      </w:r>
      <w:r>
        <w:rPr>
          <w:rFonts w:ascii="Times New Roman" w:hAnsi="Times New Roman"/>
          <w:sz w:val="24"/>
          <w:lang w:val="en-GB"/>
        </w:rPr>
        <w:t>. Cage’s process did indeed very much resemble a research process, but it is not until a researcher, in this case yours truly, points out what is at stake in the process that the artistic process turns into research. On the other hand, the researcher that turned the artistic expression into artistic research could have been Cage himself.</w:t>
      </w:r>
    </w:p>
    <w:p w:rsidR="001E32DB" w:rsidRPr="009556B5" w:rsidRDefault="001E32DB" w:rsidP="001E32DB">
      <w:pPr>
        <w:pStyle w:val="Ingetavstnd"/>
        <w:spacing w:line="360" w:lineRule="auto"/>
        <w:ind w:firstLine="142"/>
        <w:rPr>
          <w:rFonts w:ascii="Times New Roman" w:hAnsi="Times New Roman"/>
          <w:sz w:val="24"/>
          <w:lang w:val="en-GB"/>
        </w:rPr>
      </w:pPr>
      <w:r>
        <w:rPr>
          <w:rFonts w:ascii="Times New Roman" w:hAnsi="Times New Roman"/>
          <w:sz w:val="24"/>
          <w:lang w:val="en-GB"/>
        </w:rPr>
        <w:t xml:space="preserve">2) The model of defining artistic research through question-method-answer cannot be compromised with even when we are dealing with artistic expressions of utterly high merits. Putting an expression outside of the concept ‘research’ is not in any way to devalue a piece of music or an interpretation. On the contrary, an expression or interpretation may far surpass excellent research without making it research. Artistic merits are </w:t>
      </w:r>
      <w:r>
        <w:rPr>
          <w:rFonts w:ascii="Times New Roman" w:hAnsi="Times New Roman"/>
          <w:i/>
          <w:sz w:val="24"/>
          <w:lang w:val="en-GB"/>
        </w:rPr>
        <w:t>not</w:t>
      </w:r>
      <w:r>
        <w:rPr>
          <w:rFonts w:ascii="Times New Roman" w:hAnsi="Times New Roman"/>
          <w:sz w:val="24"/>
          <w:lang w:val="en-GB"/>
        </w:rPr>
        <w:t xml:space="preserve"> sufficient criteria for an expression to be considered as research. Although the expression may be high-end it still lacks clarity concerning what it is </w:t>
      </w:r>
      <w:r w:rsidRPr="00C30615">
        <w:rPr>
          <w:rFonts w:ascii="Times New Roman" w:hAnsi="Times New Roman"/>
          <w:i/>
          <w:sz w:val="24"/>
          <w:lang w:val="en-GB"/>
        </w:rPr>
        <w:t>about</w:t>
      </w:r>
      <w:r>
        <w:rPr>
          <w:rFonts w:ascii="Times New Roman" w:hAnsi="Times New Roman"/>
          <w:sz w:val="24"/>
          <w:lang w:val="en-GB"/>
        </w:rPr>
        <w:t xml:space="preserve"> and an elaboration of how that </w:t>
      </w:r>
      <w:r>
        <w:rPr>
          <w:rFonts w:ascii="Times New Roman" w:hAnsi="Times New Roman"/>
          <w:i/>
          <w:sz w:val="24"/>
          <w:lang w:val="en-GB"/>
        </w:rPr>
        <w:t xml:space="preserve">about </w:t>
      </w:r>
      <w:r>
        <w:rPr>
          <w:rFonts w:ascii="Times New Roman" w:hAnsi="Times New Roman"/>
          <w:sz w:val="24"/>
          <w:lang w:val="en-GB"/>
        </w:rPr>
        <w:t>is reached and understood. On the other hand, if the artistic merits are extraordinary, the expression most likely inspires researchers to place the expression within the question-method-answer context and thus make the expression relevant in an artistic research context.</w:t>
      </w:r>
    </w:p>
    <w:p w:rsidR="001E32DB" w:rsidRDefault="001E32DB" w:rsidP="001E32DB">
      <w:pPr>
        <w:pStyle w:val="Ingetavstnd"/>
        <w:spacing w:line="360" w:lineRule="auto"/>
        <w:ind w:firstLine="142"/>
        <w:rPr>
          <w:rFonts w:ascii="Times New Roman" w:hAnsi="Times New Roman"/>
          <w:sz w:val="24"/>
          <w:lang w:val="en-GB"/>
        </w:rPr>
      </w:pPr>
      <w:r>
        <w:rPr>
          <w:rFonts w:ascii="Times New Roman" w:hAnsi="Times New Roman"/>
          <w:sz w:val="24"/>
          <w:lang w:val="en-GB"/>
        </w:rPr>
        <w:t>3) Any question and answer will not provide us with research. Artistic Research is still a very new field of research. The methodology is poorly developed, and likewise are we often times lacking both concepts and experience to assess research. I propose that we value research from the relevance it has for others. This does not in any sense exclude research where the researcher takes place in the research as an artist, but it asks from the researcher that she must never be private. It must always be possible for others to follow the research process. Scientific experiments can be reiterated, but artistic practices are of a somewhat different nature. Even so, unless there are aspects of the research that can be repeated again – be that through playing, practicing or thinking – we are dealing with personal development rather than research.</w:t>
      </w:r>
    </w:p>
    <w:p w:rsidR="001E32DB" w:rsidRDefault="001E32DB" w:rsidP="001E32DB">
      <w:pPr>
        <w:pStyle w:val="Ingetavstnd"/>
        <w:spacing w:line="360" w:lineRule="auto"/>
        <w:ind w:firstLine="142"/>
        <w:rPr>
          <w:rFonts w:ascii="Times New Roman" w:hAnsi="Times New Roman"/>
          <w:sz w:val="24"/>
          <w:lang w:val="en-GB"/>
        </w:rPr>
      </w:pPr>
      <w:r>
        <w:rPr>
          <w:rFonts w:ascii="Times New Roman" w:hAnsi="Times New Roman"/>
          <w:sz w:val="24"/>
          <w:lang w:val="en-GB"/>
        </w:rPr>
        <w:t xml:space="preserve">4) In artistic research, an answer can be a question. Last weekend I taught a tango seminar. For the first three hours we tried to figure out how to differentiate between the lead of SHOW (bent knee) and SHOW (straight leg). Assuming that we were conducting a class in artistic </w:t>
      </w:r>
      <w:r>
        <w:rPr>
          <w:rFonts w:ascii="Times New Roman" w:hAnsi="Times New Roman"/>
          <w:sz w:val="24"/>
          <w:lang w:val="en-GB"/>
        </w:rPr>
        <w:lastRenderedPageBreak/>
        <w:t>research, did we have a research question? Or did we commence the research process with the answer and from there worked to find appropriate questions for our answer? What may look like an answer may indeed be a question, and the contrary may also be true. We could perhaps say that our tango seminar presented an answer with the function of a question. From there we worked out a set of methodologies to connect the answer/question to the answer/question. This leads us to understand that question and answer to a certain extent are interchangeable under the condition that we possess a thorough methodology that is relevant to other dancers/researchers. The methodology may also provide us with our research question and any three elements may provide us with the entry point into the research process.</w:t>
      </w:r>
    </w:p>
    <w:p w:rsidR="001E32DB" w:rsidRDefault="001E32DB" w:rsidP="001E32DB">
      <w:pPr>
        <w:pStyle w:val="Ingetavstnd"/>
        <w:spacing w:line="360" w:lineRule="auto"/>
        <w:ind w:firstLine="142"/>
        <w:rPr>
          <w:rFonts w:ascii="Times New Roman" w:hAnsi="Times New Roman"/>
          <w:sz w:val="24"/>
          <w:lang w:val="en-GB"/>
        </w:rPr>
      </w:pPr>
    </w:p>
    <w:p w:rsidR="001E32DB" w:rsidRDefault="001E32DB" w:rsidP="001E32DB">
      <w:pPr>
        <w:pStyle w:val="Ingetavstnd"/>
        <w:spacing w:line="360" w:lineRule="auto"/>
        <w:ind w:firstLine="142"/>
        <w:rPr>
          <w:rFonts w:ascii="Times New Roman" w:hAnsi="Times New Roman"/>
          <w:sz w:val="24"/>
          <w:lang w:val="en-GB"/>
        </w:rPr>
      </w:pPr>
      <w:r>
        <w:rPr>
          <w:rFonts w:ascii="Times New Roman" w:hAnsi="Times New Roman"/>
          <w:sz w:val="24"/>
          <w:lang w:val="en-GB"/>
        </w:rPr>
        <w:t>That was my conclusion. This paper is on a negative note written as a polemic against the naive belief from some ostensible researchers that any practice is a research. On a positive not, the paper tries to pin down a few aspects of what an artistic research question is, and it suggests how research-like aspects of any practice can be put in a proper research context. The brevity of the paper makes it impossible for the discussion to be extensive, but it is the author’s hope that the paper will provide fertile grounds for further fruitful discussions about what we are looking for in artistic research.</w:t>
      </w:r>
    </w:p>
    <w:p w:rsidR="0022011E" w:rsidRPr="001E32DB" w:rsidRDefault="0022011E" w:rsidP="003B58A4">
      <w:pPr>
        <w:pStyle w:val="Ingetavstnd"/>
        <w:spacing w:line="360" w:lineRule="auto"/>
        <w:rPr>
          <w:rFonts w:ascii="Times New Roman" w:hAnsi="Times New Roman"/>
          <w:sz w:val="24"/>
          <w:lang w:val="en-GB"/>
        </w:rPr>
      </w:pPr>
    </w:p>
    <w:sectPr w:rsidR="0022011E" w:rsidRPr="001E32DB" w:rsidSect="0022011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5D6" w:rsidRDefault="002505D6" w:rsidP="001E32DB">
      <w:pPr>
        <w:spacing w:line="240" w:lineRule="auto"/>
      </w:pPr>
      <w:r>
        <w:separator/>
      </w:r>
    </w:p>
  </w:endnote>
  <w:endnote w:type="continuationSeparator" w:id="0">
    <w:p w:rsidR="002505D6" w:rsidRDefault="002505D6" w:rsidP="001E32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5D6" w:rsidRDefault="002505D6" w:rsidP="001E32DB">
      <w:pPr>
        <w:spacing w:line="240" w:lineRule="auto"/>
      </w:pPr>
      <w:r>
        <w:separator/>
      </w:r>
    </w:p>
  </w:footnote>
  <w:footnote w:type="continuationSeparator" w:id="0">
    <w:p w:rsidR="002505D6" w:rsidRDefault="002505D6" w:rsidP="001E32DB">
      <w:pPr>
        <w:spacing w:line="240" w:lineRule="auto"/>
      </w:pPr>
      <w:r>
        <w:continuationSeparator/>
      </w:r>
    </w:p>
  </w:footnote>
  <w:footnote w:id="1">
    <w:p w:rsidR="001E32DB" w:rsidRPr="0078234F" w:rsidRDefault="001E32DB" w:rsidP="001E32DB">
      <w:pPr>
        <w:pStyle w:val="Fotnotstext"/>
        <w:rPr>
          <w:lang w:val="en-GB"/>
        </w:rPr>
      </w:pPr>
      <w:r>
        <w:rPr>
          <w:rStyle w:val="Fotnotsreferens"/>
        </w:rPr>
        <w:footnoteRef/>
      </w:r>
      <w:r w:rsidRPr="00BA15C5">
        <w:rPr>
          <w:lang w:val="de-DE"/>
        </w:rPr>
        <w:t xml:space="preserve"> </w:t>
      </w:r>
      <w:r>
        <w:fldChar w:fldCharType="begin"/>
      </w:r>
      <w:r>
        <w:rPr>
          <w:lang w:val="de-DE"/>
        </w:rPr>
        <w:instrText xml:space="preserve"> ADDIN EN.CITE &lt;EndNote&gt;&lt;Cite&gt;&lt;Author&gt;Suzuki&lt;/Author&gt;&lt;Year&gt;2004&lt;/Year&gt;&lt;RecNum&gt;225&lt;/RecNum&gt;&lt;Pages&gt;74&lt;/Pages&gt;&lt;record&gt;&lt;rec-number&gt;225&lt;/rec-number&gt;&lt;foreign-keys&gt;&lt;key app="EN" db-id="sdf52r5f8vdrzhexpadvxark22prwd0drfvt"&gt;225&lt;/key&gt;&lt;/foreign-keys&gt;&lt;ref-type name="Book"&gt;6&lt;/ref-type&gt;&lt;contributors&gt;&lt;authors&gt;&lt;author&gt;Suzuki, Daisetz Teitaro&lt;/author&gt;&lt;/authors&gt;&lt;/contributors&gt;&lt;titles&gt;&lt;title&gt;Essays in Zen Buddhism. Second Series&lt;/title&gt;&lt;short-title&gt;Essays 2&lt;/short-title&gt;&lt;/titles&gt;&lt;dates&gt;&lt;year&gt;2004&lt;/year&gt;&lt;/dates&gt;&lt;pub-location&gt;New Delhi&lt;/pub-location&gt;&lt;publisher&gt;Munishram Manoharlal Publishers&lt;/publisher&gt;&lt;urls&gt;&lt;/urls&gt;&lt;/record&gt;&lt;/Cite&gt;&lt;/EndNote&gt;</w:instrText>
      </w:r>
      <w:r>
        <w:fldChar w:fldCharType="separate"/>
      </w:r>
      <w:r>
        <w:rPr>
          <w:noProof/>
          <w:lang w:val="de-DE"/>
        </w:rPr>
        <w:t xml:space="preserve">Daisetz Teitaro Suzuki, </w:t>
      </w:r>
      <w:r w:rsidRPr="0021794C">
        <w:rPr>
          <w:i/>
          <w:noProof/>
          <w:lang w:val="de-DE"/>
        </w:rPr>
        <w:t xml:space="preserve">Essays in Zen Buddhism. </w:t>
      </w:r>
      <w:r w:rsidRPr="00DD06AB">
        <w:rPr>
          <w:i/>
          <w:noProof/>
          <w:lang w:val="en-GB"/>
        </w:rPr>
        <w:t>Second Series</w:t>
      </w:r>
      <w:r w:rsidRPr="00DD06AB">
        <w:rPr>
          <w:noProof/>
          <w:lang w:val="en-GB"/>
        </w:rPr>
        <w:t xml:space="preserve"> (New Delhi: Munishram Manoharlal Publishers, 2004), 74.</w:t>
      </w:r>
      <w:r>
        <w:fldChar w:fldCharType="end"/>
      </w:r>
      <w:r>
        <w:rPr>
          <w:lang w:val="en-GB"/>
        </w:rPr>
        <w:t xml:space="preserve"> A little discourse on Cage and questions is found in: </w:t>
      </w:r>
      <w:r>
        <w:fldChar w:fldCharType="begin"/>
      </w:r>
      <w:r>
        <w:rPr>
          <w:lang w:val="en-GB"/>
        </w:rPr>
        <w:instrText xml:space="preserve"> ADDIN EN.CITE &lt;EndNote&gt;&lt;Cite&gt;&lt;Author&gt;Perloff&lt;/Author&gt;&lt;Year&gt;1994&lt;/Year&gt;&lt;RecNum&gt;232&lt;/RecNum&gt;&lt;Pages&gt;1-3&lt;/Pages&gt;&lt;record&gt;&lt;rec-number&gt;232&lt;/rec-number&gt;&lt;foreign-keys&gt;&lt;key app="EN" db-id="sdf52r5f8vdrzhexpadvxark22prwd0drfvt"&gt;232&lt;/key&gt;&lt;/foreign-keys&gt;&lt;ref-type name="Book Section"&gt;5&lt;/ref-type&gt;&lt;contributors&gt;&lt;authors&gt;&lt;author&gt;Perloff, Marjorie&lt;/author&gt;&lt;author&gt;Junkerman, Charles&lt;/author&gt;&lt;/authors&gt;&lt;secondary-authors&gt;&lt;author&gt;Perloff, Marjorie&lt;/author&gt;&lt;author&gt;Junkerman, Charles&lt;/author&gt;&lt;/secondary-authors&gt;&lt;/contributors&gt;&lt;titles&gt;&lt;title&gt;Introduction&lt;/title&gt;&lt;secondary-title&gt;John Cage Composed in America&lt;/secondary-title&gt;&lt;/titles&gt;&lt;pages&gt;1-13&lt;/pages&gt;&lt;dates&gt;&lt;year&gt;1994&lt;/year&gt;&lt;/dates&gt;&lt;pub-location&gt;Chicago&lt;/pub-location&gt;&lt;publisher&gt;The University Press of Chicago&lt;/publisher&gt;&lt;urls&gt;&lt;/urls&gt;&lt;/record&gt;&lt;/Cite&gt;&lt;/EndNote&gt;</w:instrText>
      </w:r>
      <w:r>
        <w:fldChar w:fldCharType="separate"/>
      </w:r>
      <w:r>
        <w:rPr>
          <w:noProof/>
          <w:lang w:val="en-GB"/>
        </w:rPr>
        <w:t xml:space="preserve">Marjorie Perloff and Charles Junkerman, "Introduction," in </w:t>
      </w:r>
      <w:r w:rsidRPr="0021794C">
        <w:rPr>
          <w:i/>
          <w:noProof/>
          <w:lang w:val="en-GB"/>
        </w:rPr>
        <w:t>John Cage Composed in America</w:t>
      </w:r>
      <w:r>
        <w:rPr>
          <w:noProof/>
          <w:lang w:val="en-GB"/>
        </w:rPr>
        <w:t>, ed. Marjorie Perloff and Charles Junkerman (Chicago: The University Press of Chicago, 1994), 1-3.</w:t>
      </w:r>
      <w:r>
        <w:fldChar w:fldCharType="end"/>
      </w:r>
    </w:p>
  </w:footnote>
  <w:footnote w:id="2">
    <w:p w:rsidR="001E32DB" w:rsidRPr="00284BDD" w:rsidRDefault="001E32DB" w:rsidP="001E32DB">
      <w:pPr>
        <w:pStyle w:val="Fotnotstext"/>
        <w:rPr>
          <w:lang w:val="en-GB"/>
        </w:rPr>
      </w:pPr>
      <w:r>
        <w:rPr>
          <w:rStyle w:val="Fotnotsreferens"/>
        </w:rPr>
        <w:footnoteRef/>
      </w:r>
      <w:r w:rsidRPr="008E26AB">
        <w:rPr>
          <w:lang w:val="en-GB"/>
        </w:rPr>
        <w:t xml:space="preserve"> </w:t>
      </w:r>
      <w:r>
        <w:rPr>
          <w:lang w:val="de-DE"/>
        </w:rPr>
        <w:fldChar w:fldCharType="begin"/>
      </w:r>
      <w:r>
        <w:rPr>
          <w:lang w:val="en-GB"/>
        </w:rPr>
        <w:instrText xml:space="preserve"> ADDIN EN.CITE &lt;EndNote&gt;&lt;Cite&gt;&lt;Author&gt;Heidegger&lt;/Author&gt;&lt;Year&gt;1993&lt;/Year&gt;&lt;RecNum&gt;475&lt;/RecNum&gt;&lt;Pages&gt;45&lt;/Pages&gt;&lt;record&gt;&lt;rec-number&gt;475&lt;/rec-number&gt;&lt;foreign-keys&gt;&lt;key app="EN" db-id="sdf52r5f8vdrzhexpadvxark22prwd0drfvt"&gt;475&lt;/key&gt;&lt;/foreign-keys&gt;&lt;ref-type name="Book"&gt;6&lt;/ref-type&gt;&lt;contributors&gt;&lt;authors&gt;&lt;author&gt;Heidegger, Martin&lt;/author&gt;&lt;/authors&gt;&lt;secondary-authors&gt;&lt;author&gt;David Farrell Krell&lt;/author&gt;&lt;/secondary-authors&gt;&lt;/contributors&gt;&lt;titles&gt;&lt;title&gt;Basic Writings&lt;/title&gt;&lt;/titles&gt;&lt;dates&gt;&lt;year&gt;1993&lt;/year&gt;&lt;/dates&gt;&lt;pub-location&gt;New York&lt;/pub-location&gt;&lt;publisher&gt;Harper Collins&lt;/publisher&gt;&lt;urls&gt;&lt;/urls&gt;&lt;/record&gt;&lt;/Cite&gt;&lt;/EndNote&gt;</w:instrText>
      </w:r>
      <w:r>
        <w:rPr>
          <w:lang w:val="de-DE"/>
        </w:rPr>
        <w:fldChar w:fldCharType="separate"/>
      </w:r>
      <w:r w:rsidRPr="008E26AB">
        <w:rPr>
          <w:noProof/>
          <w:lang w:val="en-GB"/>
        </w:rPr>
        <w:t xml:space="preserve">Martin Heidegger, </w:t>
      </w:r>
      <w:r w:rsidRPr="008E26AB">
        <w:rPr>
          <w:i/>
          <w:noProof/>
          <w:lang w:val="en-GB"/>
        </w:rPr>
        <w:t>Basic Writings</w:t>
      </w:r>
      <w:r w:rsidRPr="008E26AB">
        <w:rPr>
          <w:noProof/>
          <w:lang w:val="en-GB"/>
        </w:rPr>
        <w:t>, ed. David Farrell Krell (New York: Harper Collins, 1993), 45.</w:t>
      </w:r>
      <w:r>
        <w:rPr>
          <w:lang w:val="de-DE"/>
        </w:rPr>
        <w:fldChar w:fldCharType="end"/>
      </w:r>
    </w:p>
  </w:footnote>
  <w:footnote w:id="3">
    <w:p w:rsidR="001E32DB" w:rsidRPr="008E26AB" w:rsidRDefault="001E32DB" w:rsidP="001E32DB">
      <w:pPr>
        <w:pStyle w:val="Fotnotstext"/>
        <w:rPr>
          <w:lang w:val="en-GB"/>
        </w:rPr>
      </w:pPr>
      <w:r>
        <w:rPr>
          <w:rStyle w:val="Fotnotsreferens"/>
        </w:rPr>
        <w:footnoteRef/>
      </w:r>
      <w:r w:rsidRPr="008E26AB">
        <w:rPr>
          <w:lang w:val="en-GB"/>
        </w:rPr>
        <w:t xml:space="preserve"> </w:t>
      </w:r>
      <w:r>
        <w:fldChar w:fldCharType="begin"/>
      </w:r>
      <w:r>
        <w:rPr>
          <w:lang w:val="en-GB"/>
        </w:rPr>
        <w:instrText xml:space="preserve"> ADDIN EN.CITE &lt;EndNote&gt;&lt;Cite&gt;&lt;Author&gt;Heidegger&lt;/Author&gt;&lt;Year&gt;1993&lt;/Year&gt;&lt;RecNum&gt;475&lt;/RecNum&gt;&lt;Pages&gt;45&lt;/Pages&gt;&lt;record&gt;&lt;rec-number&gt;475&lt;/rec-number&gt;&lt;foreign-keys&gt;&lt;key app="EN" db-id="sdf52r5f8vdrzhexpadvxark22prwd0drfvt"&gt;475&lt;/key&gt;&lt;/foreign-keys&gt;&lt;ref-type name="Book"&gt;6&lt;/ref-type&gt;&lt;contributors&gt;&lt;authors&gt;&lt;author&gt;Heidegger, Martin&lt;/author&gt;&lt;/authors&gt;&lt;secondary-authors&gt;&lt;author&gt;David Farrell Krell&lt;/author&gt;&lt;/secondary-authors&gt;&lt;/contributors&gt;&lt;titles&gt;&lt;title&gt;Basic Writings&lt;/title&gt;&lt;/titles&gt;&lt;dates&gt;&lt;year&gt;1993&lt;/year&gt;&lt;/dates&gt;&lt;pub-location&gt;New York&lt;/pub-location&gt;&lt;publisher&gt;Harper Collins&lt;/publisher&gt;&lt;urls&gt;&lt;/urls&gt;&lt;/record&gt;&lt;/Cite&gt;&lt;/EndNote&gt;</w:instrText>
      </w:r>
      <w:r>
        <w:fldChar w:fldCharType="separate"/>
      </w:r>
      <w:r w:rsidRPr="008E26AB">
        <w:rPr>
          <w:noProof/>
          <w:lang w:val="en-GB"/>
        </w:rPr>
        <w:t>Ibid.</w:t>
      </w:r>
      <w:r>
        <w:fldChar w:fldCharType="end"/>
      </w:r>
    </w:p>
  </w:footnote>
  <w:footnote w:id="4">
    <w:p w:rsidR="001E32DB" w:rsidRPr="00942F49" w:rsidRDefault="001E32DB" w:rsidP="001E32DB">
      <w:pPr>
        <w:pStyle w:val="Fotnotstext"/>
        <w:rPr>
          <w:lang w:val="en-GB"/>
        </w:rPr>
      </w:pPr>
      <w:r>
        <w:rPr>
          <w:rStyle w:val="Fotnotsreferens"/>
        </w:rPr>
        <w:footnoteRef/>
      </w:r>
      <w:r w:rsidRPr="00C87EE7">
        <w:rPr>
          <w:lang w:val="en-GB"/>
        </w:rPr>
        <w:t xml:space="preserve"> Quoted from: </w:t>
      </w:r>
      <w:r>
        <w:fldChar w:fldCharType="begin"/>
      </w:r>
      <w:r>
        <w:rPr>
          <w:lang w:val="en-GB"/>
        </w:rPr>
        <w:instrText xml:space="preserve"> ADDIN EN.CITE &lt;EndNote&gt;&lt;Cite&gt;&lt;Author&gt;Brendel&lt;/Author&gt;&lt;Year&gt;2001&lt;/Year&gt;&lt;RecNum&gt;476&lt;/RecNum&gt;&lt;Pages&gt;xiii&lt;/Pages&gt;&lt;record&gt;&lt;rec-number&gt;476&lt;/rec-number&gt;&lt;foreign-keys&gt;&lt;key app="EN" db-id="sdf52r5f8vdrzhexpadvxark22prwd0drfvt"&gt;476&lt;/key&gt;&lt;/foreign-keys&gt;&lt;ref-type name="Book"&gt;6&lt;/ref-type&gt;&lt;contributors&gt;&lt;authors&gt;&lt;author&gt;Brendel, Alfred&lt;/author&gt;&lt;/authors&gt;&lt;/contributors&gt;&lt;titles&gt;&lt;title&gt;Alfred Brendel on Music. Collected Essays.&lt;/title&gt;&lt;/titles&gt;&lt;dates&gt;&lt;year&gt;2001&lt;/year&gt;&lt;/dates&gt;&lt;pub-location&gt;London&lt;/pub-location&gt;&lt;publisher&gt;Robson Books&lt;/publisher&gt;&lt;urls&gt;&lt;/urls&gt;&lt;/record&gt;&lt;/Cite&gt;&lt;/EndNote&gt;</w:instrText>
      </w:r>
      <w:r>
        <w:fldChar w:fldCharType="separate"/>
      </w:r>
      <w:r w:rsidRPr="00C87EE7">
        <w:rPr>
          <w:noProof/>
          <w:lang w:val="en-GB"/>
        </w:rPr>
        <w:t xml:space="preserve">Alfred Brendel, </w:t>
      </w:r>
      <w:r w:rsidRPr="00C87EE7">
        <w:rPr>
          <w:i/>
          <w:noProof/>
          <w:lang w:val="en-GB"/>
        </w:rPr>
        <w:t xml:space="preserve">Alfred Brendel on Music. </w:t>
      </w:r>
      <w:r w:rsidRPr="00942F49">
        <w:rPr>
          <w:i/>
          <w:noProof/>
          <w:lang w:val="en-GB"/>
        </w:rPr>
        <w:t>Collected Essays.</w:t>
      </w:r>
      <w:r w:rsidRPr="00942F49">
        <w:rPr>
          <w:noProof/>
          <w:lang w:val="en-GB"/>
        </w:rPr>
        <w:t xml:space="preserve"> (London: Robson Books, 2001), xiii.</w:t>
      </w:r>
      <w:r>
        <w:fldChar w:fldCharType="end"/>
      </w:r>
    </w:p>
  </w:footnote>
  <w:footnote w:id="5">
    <w:p w:rsidR="001E32DB" w:rsidRPr="009F6A9F" w:rsidRDefault="001E32DB" w:rsidP="001E32DB">
      <w:pPr>
        <w:pStyle w:val="Fotnotstext"/>
        <w:rPr>
          <w:lang w:val="en-GB"/>
        </w:rPr>
      </w:pPr>
      <w:r>
        <w:rPr>
          <w:rStyle w:val="Fotnotsreferens"/>
        </w:rPr>
        <w:footnoteRef/>
      </w:r>
      <w:r w:rsidRPr="009F6A9F">
        <w:rPr>
          <w:lang w:val="en-GB"/>
        </w:rPr>
        <w:t xml:space="preserve"> </w:t>
      </w:r>
      <w:r>
        <w:rPr>
          <w:lang w:val="en-GB"/>
        </w:rPr>
        <w:fldChar w:fldCharType="begin"/>
      </w:r>
      <w:r>
        <w:rPr>
          <w:lang w:val="en-GB"/>
        </w:rPr>
        <w:instrText xml:space="preserve"> ADDIN EN.CITE &lt;EndNote&gt;&lt;Cite&gt;&lt;Author&gt;Vincs&lt;/Author&gt;&lt;Year&gt;2010&lt;/Year&gt;&lt;RecNum&gt;478&lt;/RecNum&gt;&lt;Pages&gt;101&lt;/Pages&gt;&lt;record&gt;&lt;rec-number&gt;478&lt;/rec-number&gt;&lt;foreign-keys&gt;&lt;key app="EN" db-id="sdf52r5f8vdrzhexpadvxark22prwd0drfvt"&gt;478&lt;/key&gt;&lt;/foreign-keys&gt;&lt;ref-type name="Book Section"&gt;5&lt;/ref-type&gt;&lt;contributors&gt;&lt;authors&gt;&lt;author&gt;Vincs, Kim&lt;/author&gt;&lt;/authors&gt;&lt;secondary-authors&gt;&lt;author&gt;Barrett, Estelle&lt;/author&gt;&lt;author&gt;Bolt, Barbara&lt;/author&gt;&lt;/secondary-authors&gt;&lt;/contributors&gt;&lt;titles&gt;&lt;title&gt;Rhizome/MyZone: A Case Study in Studio-based Dance Research&lt;/title&gt;&lt;secondary-title&gt;Practice as Research. Approaches to Creative Arts Enquiry&lt;/secondary-title&gt;&lt;/titles&gt;&lt;dates&gt;&lt;year&gt;2010&lt;/year&gt;&lt;/dates&gt;&lt;pub-location&gt;London and New York&lt;/pub-location&gt;&lt;publisher&gt;I.B. Tauris&lt;/publisher&gt;&lt;urls&gt;&lt;/urls&gt;&lt;/record&gt;&lt;/Cite&gt;&lt;/EndNote&gt;</w:instrText>
      </w:r>
      <w:r>
        <w:rPr>
          <w:lang w:val="en-GB"/>
        </w:rPr>
        <w:fldChar w:fldCharType="separate"/>
      </w:r>
      <w:r>
        <w:rPr>
          <w:noProof/>
          <w:lang w:val="en-GB"/>
        </w:rPr>
        <w:t xml:space="preserve">Kim Vincs, "Rhizome/Myzone: A Case Study in Studio-Based Dance Research," in </w:t>
      </w:r>
      <w:r w:rsidRPr="00DD158D">
        <w:rPr>
          <w:i/>
          <w:noProof/>
          <w:lang w:val="en-GB"/>
        </w:rPr>
        <w:t>Practice as Research. Approaches to Creative Arts Enquiry</w:t>
      </w:r>
      <w:r>
        <w:rPr>
          <w:noProof/>
          <w:lang w:val="en-GB"/>
        </w:rPr>
        <w:t>, ed. Estelle Barrett and Barbara Bolt (London and New York: I.B. Tauris, 2010), 101.</w:t>
      </w:r>
      <w:r>
        <w:rPr>
          <w:lang w:val="en-GB"/>
        </w:rPr>
        <w:fldChar w:fldCharType="end"/>
      </w:r>
    </w:p>
  </w:footnote>
  <w:footnote w:id="6">
    <w:p w:rsidR="001E32DB" w:rsidRPr="001E32DB" w:rsidRDefault="001E32DB" w:rsidP="001E32DB">
      <w:pPr>
        <w:pStyle w:val="Fotnotstext"/>
        <w:rPr>
          <w:lang w:val="en-GB"/>
        </w:rPr>
      </w:pPr>
      <w:r>
        <w:rPr>
          <w:rStyle w:val="Fotnotsreferens"/>
        </w:rPr>
        <w:footnoteRef/>
      </w:r>
      <w:r w:rsidRPr="001E32DB">
        <w:rPr>
          <w:lang w:val="en-GB"/>
        </w:rPr>
        <w:t xml:space="preserve"> REF WIKIPEDIA</w:t>
      </w:r>
    </w:p>
  </w:footnote>
  <w:footnote w:id="7">
    <w:p w:rsidR="001E32DB" w:rsidRPr="00F04715" w:rsidRDefault="001E32DB" w:rsidP="001E32DB">
      <w:pPr>
        <w:pStyle w:val="Fotnotstext"/>
        <w:rPr>
          <w:lang w:val="en-GB"/>
        </w:rPr>
      </w:pPr>
      <w:r>
        <w:rPr>
          <w:rStyle w:val="Fotnotsreferens"/>
        </w:rPr>
        <w:footnoteRef/>
      </w:r>
      <w:r w:rsidRPr="00F04715">
        <w:rPr>
          <w:lang w:val="en-GB"/>
        </w:rPr>
        <w:t xml:space="preserve"> </w:t>
      </w:r>
      <w:r>
        <w:fldChar w:fldCharType="begin"/>
      </w:r>
      <w:r w:rsidRPr="00F04715">
        <w:rPr>
          <w:lang w:val="en-GB"/>
        </w:rPr>
        <w:instrText xml:space="preserve"> ADDIN EN.CITE &lt;EndNote&gt;&lt;Cite&gt;&lt;Author&gt;Vincs&lt;/Author&gt;&lt;Year&gt;2010&lt;/Year&gt;&lt;RecNum&gt;478&lt;/RecNum&gt;&lt;Pages&gt;100&lt;/Pages&gt;&lt;record&gt;&lt;rec-number&gt;478&lt;/rec-number&gt;&lt;foreign-keys&gt;&lt;key app="EN" db-id="sdf52r5f8vdrzhexpadvxark22prwd0drfvt"&gt;478&lt;/key&gt;&lt;/foreign-keys&gt;&lt;ref-type name="Book Section"&gt;5&lt;/ref-type&gt;&lt;contributors&gt;&lt;authors&gt;&lt;author&gt;Vincs, Kim&lt;/author&gt;&lt;/authors&gt;&lt;secondary-authors&gt;&lt;author&gt;Barrett, Estelle&lt;/author&gt;&lt;author&gt;Bolt, Barbara&lt;/author&gt;&lt;/secondary-authors&gt;&lt;/contributors&gt;&lt;titles&gt;&lt;title&gt;Rhizome/MyZone: A Case Study in Studio-based Dance Research&lt;/title&gt;&lt;secondary-title&gt;Practice as Research. Approaches to Creative Arts Enquiry&lt;/secondary-title&gt;&lt;/titles&gt;&lt;dates&gt;&lt;year&gt;2010&lt;/year&gt;&lt;/dates&gt;&lt;pub-location&gt;London and New York&lt;/pub-location&gt;&lt;publisher&gt;I.B. Tauris&lt;/publisher&gt;&lt;urls&gt;&lt;/urls&gt;&lt;/record&gt;&lt;/Cite&gt;&lt;/EndNote&gt;</w:instrText>
      </w:r>
      <w:r>
        <w:fldChar w:fldCharType="separate"/>
      </w:r>
      <w:r w:rsidRPr="00F04715">
        <w:rPr>
          <w:noProof/>
          <w:lang w:val="en-GB"/>
        </w:rPr>
        <w:t>Ibid., 100.</w:t>
      </w:r>
      <w:r>
        <w:fldChar w:fldCharType="end"/>
      </w:r>
    </w:p>
  </w:footnote>
  <w:footnote w:id="8">
    <w:p w:rsidR="001E32DB" w:rsidRPr="00A00FDF" w:rsidRDefault="001E32DB" w:rsidP="001E32DB">
      <w:pPr>
        <w:pStyle w:val="Fotnotstext"/>
        <w:rPr>
          <w:lang w:val="en-GB"/>
        </w:rPr>
      </w:pPr>
      <w:r>
        <w:rPr>
          <w:rStyle w:val="Fotnotsreferens"/>
        </w:rPr>
        <w:footnoteRef/>
      </w:r>
      <w:r w:rsidRPr="00A00FDF">
        <w:rPr>
          <w:lang w:val="en-GB"/>
        </w:rPr>
        <w:t xml:space="preserve"> </w:t>
      </w:r>
      <w:r>
        <w:rPr>
          <w:lang w:val="en-GB"/>
        </w:rPr>
        <w:fldChar w:fldCharType="begin"/>
      </w:r>
      <w:r>
        <w:rPr>
          <w:lang w:val="en-GB"/>
        </w:rPr>
        <w:instrText xml:space="preserve"> ADDIN EN.CITE &lt;EndNote&gt;&lt;Cite&gt;&lt;Author&gt;Vincs&lt;/Author&gt;&lt;Year&gt;2010&lt;/Year&gt;&lt;RecNum&gt;478&lt;/RecNum&gt;&lt;Pages&gt;100&lt;/Pages&gt;&lt;record&gt;&lt;rec-number&gt;478&lt;/rec-number&gt;&lt;foreign-keys&gt;&lt;key app="EN" db-id="sdf52r5f8vdrzhexpadvxark22prwd0drfvt"&gt;478&lt;/key&gt;&lt;/foreign-keys&gt;&lt;ref-type name="Book Section"&gt;5&lt;/ref-type&gt;&lt;contributors&gt;&lt;authors&gt;&lt;author&gt;Vincs, Kim&lt;/author&gt;&lt;/authors&gt;&lt;secondary-authors&gt;&lt;author&gt;Barrett, Estelle&lt;/author&gt;&lt;author&gt;Bolt, Barbara&lt;/author&gt;&lt;/secondary-authors&gt;&lt;/contributors&gt;&lt;titles&gt;&lt;title&gt;Rhizome/MyZone: A Case Study in Studio-based Dance Research&lt;/title&gt;&lt;secondary-title&gt;Practice as Research. Approaches to Creative Arts Enquiry&lt;/secondary-title&gt;&lt;/titles&gt;&lt;dates&gt;&lt;year&gt;2010&lt;/year&gt;&lt;/dates&gt;&lt;pub-location&gt;London and New York&lt;/pub-location&gt;&lt;publisher&gt;I.B. Tauris&lt;/publisher&gt;&lt;urls&gt;&lt;/urls&gt;&lt;/record&gt;&lt;/Cite&gt;&lt;/EndNote&gt;</w:instrText>
      </w:r>
      <w:r>
        <w:rPr>
          <w:lang w:val="en-GB"/>
        </w:rPr>
        <w:fldChar w:fldCharType="separate"/>
      </w:r>
      <w:r>
        <w:rPr>
          <w:noProof/>
          <w:lang w:val="en-GB"/>
        </w:rPr>
        <w:t>Ibid.</w:t>
      </w:r>
      <w:r>
        <w:rPr>
          <w:lang w:val="en-GB"/>
        </w:rPr>
        <w:fldChar w:fldCharType="end"/>
      </w:r>
    </w:p>
  </w:footnote>
  <w:footnote w:id="9">
    <w:p w:rsidR="001E32DB" w:rsidRPr="00A65CDC" w:rsidRDefault="001E32DB" w:rsidP="001E32DB">
      <w:pPr>
        <w:pStyle w:val="Fotnotstext"/>
        <w:rPr>
          <w:lang w:val="en-GB"/>
        </w:rPr>
      </w:pPr>
      <w:r>
        <w:rPr>
          <w:rStyle w:val="Fotnotsreferens"/>
        </w:rPr>
        <w:footnoteRef/>
      </w:r>
      <w:r w:rsidRPr="00A65CDC">
        <w:rPr>
          <w:lang w:val="en-GB"/>
        </w:rPr>
        <w:t xml:space="preserve"> </w:t>
      </w:r>
      <w:r>
        <w:rPr>
          <w:lang w:val="en-GB"/>
        </w:rPr>
        <w:fldChar w:fldCharType="begin"/>
      </w:r>
      <w:r>
        <w:rPr>
          <w:lang w:val="en-GB"/>
        </w:rPr>
        <w:instrText xml:space="preserve"> ADDIN EN.CITE &lt;EndNote&gt;&lt;Cite&gt;&lt;Author&gt;Deleuze&lt;/Author&gt;&lt;Year&gt;1987&lt;/Year&gt;&lt;RecNum&gt;479&lt;/RecNum&gt;&lt;record&gt;&lt;rec-number&gt;479&lt;/rec-number&gt;&lt;foreign-keys&gt;&lt;key app="EN" db-id="sdf52r5f8vdrzhexpadvxark22prwd0drfvt"&gt;479&lt;/key&gt;&lt;/foreign-keys&gt;&lt;ref-type name="Book"&gt;6&lt;/ref-type&gt;&lt;contributors&gt;&lt;authors&gt;&lt;author&gt;Deleuze, Gilles&lt;/author&gt;&lt;author&gt;Guattari, Felix&lt;/author&gt;&lt;/authors&gt;&lt;/contributors&gt;&lt;titles&gt;&lt;title&gt;A Thousand Plateaus. Capitalism and Schizophreniz&lt;/title&gt;&lt;/titles&gt;&lt;dates&gt;&lt;year&gt;1987&lt;/year&gt;&lt;/dates&gt;&lt;pub-location&gt;Minneapolis&lt;/pub-location&gt;&lt;publisher&gt;University of Minnesota Press&lt;/publisher&gt;&lt;urls&gt;&lt;/urls&gt;&lt;/record&gt;&lt;/Cite&gt;&lt;/EndNote&gt;</w:instrText>
      </w:r>
      <w:r>
        <w:rPr>
          <w:lang w:val="en-GB"/>
        </w:rPr>
        <w:fldChar w:fldCharType="separate"/>
      </w:r>
      <w:r>
        <w:rPr>
          <w:noProof/>
          <w:lang w:val="en-GB"/>
        </w:rPr>
        <w:t xml:space="preserve">Gilles Deleuze and Felix Guattari, </w:t>
      </w:r>
      <w:r w:rsidRPr="00A65CDC">
        <w:rPr>
          <w:i/>
          <w:noProof/>
          <w:lang w:val="en-GB"/>
        </w:rPr>
        <w:t>A Thousand Plateaus. Capitalism and Schizophreniz</w:t>
      </w:r>
      <w:r>
        <w:rPr>
          <w:noProof/>
          <w:lang w:val="en-GB"/>
        </w:rPr>
        <w:t xml:space="preserve"> (Minneapolis: University of Minnesota Press, 1987).</w:t>
      </w:r>
      <w:r>
        <w:rPr>
          <w:lang w:val="en-GB"/>
        </w:rPr>
        <w:fldChar w:fldCharType="end"/>
      </w:r>
    </w:p>
  </w:footnote>
  <w:footnote w:id="10">
    <w:p w:rsidR="001E32DB" w:rsidRPr="0029485C" w:rsidRDefault="001E32DB" w:rsidP="001E32DB">
      <w:pPr>
        <w:pStyle w:val="Fotnotstext"/>
        <w:rPr>
          <w:lang w:val="en-GB"/>
        </w:rPr>
      </w:pPr>
      <w:r>
        <w:rPr>
          <w:rStyle w:val="Fotnotsreferens"/>
        </w:rPr>
        <w:footnoteRef/>
      </w:r>
      <w:r w:rsidRPr="0029485C">
        <w:rPr>
          <w:lang w:val="en-GB"/>
        </w:rPr>
        <w:t xml:space="preserve"> </w:t>
      </w:r>
      <w:r>
        <w:rPr>
          <w:lang w:val="en-GB"/>
        </w:rPr>
        <w:fldChar w:fldCharType="begin"/>
      </w:r>
      <w:r>
        <w:rPr>
          <w:lang w:val="en-GB"/>
        </w:rPr>
        <w:instrText xml:space="preserve"> ADDIN EN.CITE &lt;EndNote&gt;&lt;Cite&gt;&lt;Author&gt;Vincs&lt;/Author&gt;&lt;Year&gt;2010&lt;/Year&gt;&lt;RecNum&gt;478&lt;/RecNum&gt;&lt;Pages&gt;101&lt;/Pages&gt;&lt;record&gt;&lt;rec-number&gt;478&lt;/rec-number&gt;&lt;foreign-keys&gt;&lt;key app="EN" db-id="sdf52r5f8vdrzhexpadvxark22prwd0drfvt"&gt;478&lt;/key&gt;&lt;/foreign-keys&gt;&lt;ref-type name="Book Section"&gt;5&lt;/ref-type&gt;&lt;contributors&gt;&lt;authors&gt;&lt;author&gt;Vincs, Kim&lt;/author&gt;&lt;/authors&gt;&lt;secondary-authors&gt;&lt;author&gt;Barrett, Estelle&lt;/author&gt;&lt;author&gt;Bolt, Barbara&lt;/author&gt;&lt;/secondary-authors&gt;&lt;/contributors&gt;&lt;titles&gt;&lt;title&gt;Rhizome/MyZone: A Case Study in Studio-based Dance Research&lt;/title&gt;&lt;secondary-title&gt;Practice as Research. Approaches to Creative Arts Enquiry&lt;/secondary-title&gt;&lt;/titles&gt;&lt;dates&gt;&lt;year&gt;2010&lt;/year&gt;&lt;/dates&gt;&lt;pub-location&gt;London and New York&lt;/pub-location&gt;&lt;publisher&gt;I.B. Tauris&lt;/publisher&gt;&lt;urls&gt;&lt;/urls&gt;&lt;/record&gt;&lt;/Cite&gt;&lt;/EndNote&gt;</w:instrText>
      </w:r>
      <w:r>
        <w:rPr>
          <w:lang w:val="en-GB"/>
        </w:rPr>
        <w:fldChar w:fldCharType="separate"/>
      </w:r>
      <w:r>
        <w:rPr>
          <w:noProof/>
          <w:lang w:val="en-GB"/>
        </w:rPr>
        <w:t>Vincs, "Rhizome/Myzone: A Case Study in Studio-Based Dance Research," 101.</w:t>
      </w:r>
      <w:r>
        <w:rPr>
          <w:lang w:val="en-GB"/>
        </w:rPr>
        <w:fldChar w:fldCharType="end"/>
      </w:r>
    </w:p>
  </w:footnote>
  <w:footnote w:id="11">
    <w:p w:rsidR="001E32DB" w:rsidRPr="00BA1BE4" w:rsidRDefault="001E32DB" w:rsidP="001E32DB">
      <w:pPr>
        <w:pStyle w:val="Fotnotstext"/>
        <w:rPr>
          <w:lang w:val="en-GB"/>
        </w:rPr>
      </w:pPr>
      <w:r>
        <w:rPr>
          <w:rStyle w:val="Fotnotsreferens"/>
        </w:rPr>
        <w:footnoteRef/>
      </w:r>
      <w:r w:rsidRPr="00BA1BE4">
        <w:rPr>
          <w:lang w:val="en-GB"/>
        </w:rPr>
        <w:t xml:space="preserve"> </w:t>
      </w:r>
      <w:r>
        <w:rPr>
          <w:lang w:val="en-GB"/>
        </w:rPr>
        <w:fldChar w:fldCharType="begin"/>
      </w:r>
      <w:r>
        <w:rPr>
          <w:lang w:val="en-GB"/>
        </w:rPr>
        <w:instrText xml:space="preserve"> ADDIN EN.CITE &lt;EndNote&gt;&lt;Cite&gt;&lt;Author&gt;Williams&lt;/Author&gt;&lt;Year&gt;2002&lt;/Year&gt;&lt;RecNum&gt;278&lt;/RecNum&gt;&lt;Pages&gt;240&lt;/Pages&gt;&lt;record&gt;&lt;rec-number&gt;278&lt;/rec-number&gt;&lt;foreign-keys&gt;&lt;key app="EN" db-id="sdf52r5f8vdrzhexpadvxark22prwd0drfvt"&gt;278&lt;/key&gt;&lt;/foreign-keys&gt;&lt;ref-type name="Book Section"&gt;5&lt;/ref-type&gt;&lt;contributors&gt;&lt;authors&gt;&lt;author&gt;Williams, Alastair&lt;/author&gt;&lt;/authors&gt;&lt;secondary-authors&gt;&lt;author&gt;Nicholls, David&lt;/author&gt;&lt;/secondary-authors&gt;&lt;/contributors&gt;&lt;titles&gt;&lt;title&gt;Cage and Postmodernism&lt;/title&gt;&lt;secondary-title&gt;The Cambridge Companion to John Cage&lt;/secondary-title&gt;&lt;/titles&gt;&lt;pages&gt;227-241&lt;/pages&gt;&lt;dates&gt;&lt;year&gt;2002&lt;/year&gt;&lt;/dates&gt;&lt;pub-location&gt;Cambridge&lt;/pub-location&gt;&lt;publisher&gt;Cambridge University Press&lt;/publisher&gt;&lt;urls&gt;&lt;/urls&gt;&lt;/record&gt;&lt;/Cite&gt;&lt;/EndNote&gt;</w:instrText>
      </w:r>
      <w:r>
        <w:rPr>
          <w:lang w:val="en-GB"/>
        </w:rPr>
        <w:fldChar w:fldCharType="separate"/>
      </w:r>
      <w:r>
        <w:rPr>
          <w:noProof/>
          <w:lang w:val="en-GB"/>
        </w:rPr>
        <w:t xml:space="preserve">Alastair Williams, "Cage and Postmodernism," in </w:t>
      </w:r>
      <w:r w:rsidRPr="00BA1BE4">
        <w:rPr>
          <w:i/>
          <w:noProof/>
          <w:lang w:val="en-GB"/>
        </w:rPr>
        <w:t>The Cambridge Companion to John Cage</w:t>
      </w:r>
      <w:r>
        <w:rPr>
          <w:noProof/>
          <w:lang w:val="en-GB"/>
        </w:rPr>
        <w:t>, ed. David Nicholls (Cambridge: Cambridge University Press, 2002), 240.</w:t>
      </w:r>
      <w:r>
        <w:rPr>
          <w:lang w:val="en-GB"/>
        </w:rPr>
        <w:fldChar w:fldCharType="end"/>
      </w:r>
    </w:p>
  </w:footnote>
  <w:footnote w:id="12">
    <w:p w:rsidR="001E32DB" w:rsidRPr="00F50AEE" w:rsidRDefault="001E32DB" w:rsidP="001E32DB">
      <w:pPr>
        <w:pStyle w:val="Fotnotstext"/>
        <w:jc w:val="both"/>
        <w:rPr>
          <w:sz w:val="18"/>
          <w:szCs w:val="18"/>
          <w:lang w:val="en-GB"/>
        </w:rPr>
      </w:pPr>
      <w:r w:rsidRPr="00F50AEE">
        <w:rPr>
          <w:rStyle w:val="Fotnotsreferens"/>
          <w:sz w:val="18"/>
          <w:szCs w:val="18"/>
        </w:rPr>
        <w:footnoteRef/>
      </w:r>
      <w:r w:rsidRPr="00F50AEE">
        <w:rPr>
          <w:sz w:val="18"/>
          <w:szCs w:val="18"/>
          <w:lang w:val="en-GB"/>
        </w:rPr>
        <w:t xml:space="preserve"> </w:t>
      </w:r>
      <w:r w:rsidRPr="00F50AEE">
        <w:rPr>
          <w:sz w:val="18"/>
          <w:szCs w:val="18"/>
          <w:lang w:val="en-GB"/>
        </w:rPr>
        <w:fldChar w:fldCharType="begin"/>
      </w:r>
      <w:r>
        <w:rPr>
          <w:sz w:val="18"/>
          <w:szCs w:val="18"/>
          <w:lang w:val="en-GB"/>
        </w:rPr>
        <w:instrText xml:space="preserve"> ADDIN EN.CITE &lt;EndNote&gt;&lt;Cite&gt;&lt;Author&gt;Cope&lt;/Author&gt;&lt;Year&gt;2001&lt;/Year&gt;&lt;RecNum&gt;319&lt;/RecNum&gt;&lt;Pages&gt;97&lt;/Pages&gt;&lt;record&gt;&lt;rec-number&gt;319&lt;/rec-number&gt;&lt;foreign-keys&gt;&lt;key app="EN" db-id="sdf52r5f8vdrzhexpadvxark22prwd0drfvt"&gt;319&lt;/key&gt;&lt;/foreign-keys&gt;&lt;ref-type name="Book"&gt;6&lt;/ref-type&gt;&lt;contributors&gt;&lt;authors&gt;&lt;author&gt;Cope, David&lt;/author&gt;&lt;/authors&gt;&lt;/contributors&gt;&lt;titles&gt;&lt;title&gt;New Directions in Music&lt;/title&gt;&lt;/titles&gt;&lt;dates&gt;&lt;year&gt;2001&lt;/year&gt;&lt;/dates&gt;&lt;pub-location&gt;Prospect Heights&lt;/pub-location&gt;&lt;publisher&gt;Waveland Press&lt;/publisher&gt;&lt;urls&gt;&lt;/urls&gt;&lt;/record&gt;&lt;/Cite&gt;&lt;/EndNote&gt;</w:instrText>
      </w:r>
      <w:r w:rsidRPr="00F50AEE">
        <w:rPr>
          <w:sz w:val="18"/>
          <w:szCs w:val="18"/>
          <w:lang w:val="en-GB"/>
        </w:rPr>
        <w:fldChar w:fldCharType="separate"/>
      </w:r>
      <w:r w:rsidRPr="00F50AEE">
        <w:rPr>
          <w:noProof/>
          <w:sz w:val="18"/>
          <w:szCs w:val="18"/>
          <w:lang w:val="en-GB"/>
        </w:rPr>
        <w:t xml:space="preserve">David Cope, </w:t>
      </w:r>
      <w:r w:rsidRPr="00F50AEE">
        <w:rPr>
          <w:i/>
          <w:noProof/>
          <w:sz w:val="18"/>
          <w:szCs w:val="18"/>
          <w:lang w:val="en-GB"/>
        </w:rPr>
        <w:t>New Directions in Music</w:t>
      </w:r>
      <w:r w:rsidRPr="00F50AEE">
        <w:rPr>
          <w:noProof/>
          <w:sz w:val="18"/>
          <w:szCs w:val="18"/>
          <w:lang w:val="en-GB"/>
        </w:rPr>
        <w:t xml:space="preserve"> (Prospect Heights: Waveland Press, 2001), 97.</w:t>
      </w:r>
      <w:r w:rsidRPr="00F50AEE">
        <w:rPr>
          <w:sz w:val="18"/>
          <w:szCs w:val="18"/>
          <w:lang w:val="en-GB"/>
        </w:rPr>
        <w:fldChar w:fldCharType="end"/>
      </w:r>
    </w:p>
  </w:footnote>
  <w:footnote w:id="13">
    <w:p w:rsidR="001E32DB" w:rsidRPr="00F50AEE" w:rsidRDefault="001E32DB" w:rsidP="001E32DB">
      <w:pPr>
        <w:pStyle w:val="Fotnotstext"/>
        <w:jc w:val="both"/>
        <w:rPr>
          <w:sz w:val="18"/>
          <w:szCs w:val="18"/>
          <w:lang w:val="en-US"/>
        </w:rPr>
      </w:pPr>
      <w:r w:rsidRPr="00F50AEE">
        <w:rPr>
          <w:rStyle w:val="Fotnotsreferens"/>
          <w:sz w:val="18"/>
          <w:szCs w:val="18"/>
          <w:lang w:val="en-US"/>
        </w:rPr>
        <w:footnoteRef/>
      </w:r>
      <w:r w:rsidRPr="00F50AEE">
        <w:rPr>
          <w:sz w:val="18"/>
          <w:szCs w:val="18"/>
          <w:lang w:val="en-US"/>
        </w:rPr>
        <w:t xml:space="preserve"> </w:t>
      </w:r>
      <w:r w:rsidRPr="00F50AEE">
        <w:rPr>
          <w:sz w:val="18"/>
          <w:szCs w:val="18"/>
          <w:lang w:val="en-US"/>
        </w:rPr>
        <w:fldChar w:fldCharType="begin"/>
      </w:r>
      <w:r>
        <w:rPr>
          <w:sz w:val="18"/>
          <w:szCs w:val="18"/>
          <w:lang w:val="en-US"/>
        </w:rPr>
        <w:instrText xml:space="preserve"> ADDIN EN.CITE &lt;EndNote&gt;&lt;Cite&gt;&lt;Author&gt;Pritchett&lt;/Author&gt;&lt;Year&gt;1996&lt;/Year&gt;&lt;RecNum&gt;103&lt;/RecNum&gt;&lt;Pages&gt;3&lt;/Pages&gt;&lt;record&gt;&lt;rec-number&gt;103&lt;/rec-number&gt;&lt;foreign-keys&gt;&lt;key app="EN" db-id="sdf52r5f8vdrzhexpadvxark22prwd0drfvt"&gt;103&lt;/key&gt;&lt;/foreign-keys&gt;&lt;ref-type name="Book"&gt;6&lt;/ref-type&gt;&lt;contributors&gt;&lt;authors&gt;&lt;author&gt;Pritchett, James&lt;/author&gt;&lt;/authors&gt;&lt;/contributors&gt;&lt;titles&gt;&lt;title&gt;The Music of John Cage&lt;/title&gt;&lt;/titles&gt;&lt;dates&gt;&lt;year&gt;1996&lt;/year&gt;&lt;/dates&gt;&lt;pub-location&gt;Cambridge&lt;/pub-location&gt;&lt;publisher&gt;Cambridge University Press&lt;/publisher&gt;&lt;urls&gt;&lt;/urls&gt;&lt;/record&gt;&lt;/Cite&gt;&lt;/EndNote&gt;</w:instrText>
      </w:r>
      <w:r w:rsidRPr="00F50AEE">
        <w:rPr>
          <w:sz w:val="18"/>
          <w:szCs w:val="18"/>
          <w:lang w:val="en-US"/>
        </w:rPr>
        <w:fldChar w:fldCharType="separate"/>
      </w:r>
      <w:r>
        <w:rPr>
          <w:noProof/>
          <w:sz w:val="18"/>
          <w:szCs w:val="18"/>
          <w:lang w:val="en-US"/>
        </w:rPr>
        <w:t xml:space="preserve">James Pritchett, </w:t>
      </w:r>
      <w:r w:rsidRPr="00BA1BE4">
        <w:rPr>
          <w:i/>
          <w:noProof/>
          <w:sz w:val="18"/>
          <w:szCs w:val="18"/>
          <w:lang w:val="en-US"/>
        </w:rPr>
        <w:t>The Music of John Cage</w:t>
      </w:r>
      <w:r>
        <w:rPr>
          <w:noProof/>
          <w:sz w:val="18"/>
          <w:szCs w:val="18"/>
          <w:lang w:val="en-US"/>
        </w:rPr>
        <w:t xml:space="preserve"> (Cambridge: Cambridge University Press, 1996), 3.</w:t>
      </w:r>
      <w:r w:rsidRPr="00F50AEE">
        <w:rPr>
          <w:sz w:val="18"/>
          <w:szCs w:val="18"/>
          <w:lang w:val="en-US"/>
        </w:rPr>
        <w:fldChar w:fldCharType="end"/>
      </w:r>
    </w:p>
  </w:footnote>
  <w:footnote w:id="14">
    <w:p w:rsidR="001E32DB" w:rsidRPr="00F50AEE" w:rsidRDefault="001E32DB" w:rsidP="001E32DB">
      <w:pPr>
        <w:pStyle w:val="Fotnotstext"/>
        <w:jc w:val="both"/>
        <w:rPr>
          <w:sz w:val="18"/>
          <w:szCs w:val="18"/>
          <w:lang w:val="en-US"/>
        </w:rPr>
      </w:pPr>
      <w:r w:rsidRPr="00F50AEE">
        <w:rPr>
          <w:rStyle w:val="Fotnotsreferens"/>
          <w:sz w:val="18"/>
          <w:szCs w:val="18"/>
          <w:lang w:val="en-US"/>
        </w:rPr>
        <w:footnoteRef/>
      </w:r>
      <w:r w:rsidRPr="00F50AEE">
        <w:rPr>
          <w:sz w:val="18"/>
          <w:szCs w:val="18"/>
          <w:lang w:val="en-US"/>
        </w:rPr>
        <w:t xml:space="preserve"> Cage quoted in </w:t>
      </w:r>
      <w:r w:rsidRPr="00F50AEE">
        <w:rPr>
          <w:sz w:val="18"/>
          <w:szCs w:val="18"/>
          <w:lang w:val="en-US"/>
        </w:rPr>
        <w:fldChar w:fldCharType="begin"/>
      </w:r>
      <w:r>
        <w:rPr>
          <w:sz w:val="18"/>
          <w:szCs w:val="18"/>
          <w:lang w:val="en-US"/>
        </w:rPr>
        <w:instrText xml:space="preserve"> ADDIN EN.CITE &lt;EndNote&gt;&lt;Cite&gt;&lt;Author&gt;Pritchett&lt;/Author&gt;&lt;Year&gt;1996&lt;/Year&gt;&lt;RecNum&gt;103&lt;/RecNum&gt;&lt;Pages&gt;3&lt;/Pages&gt;&lt;record&gt;&lt;rec-number&gt;103&lt;/rec-number&gt;&lt;foreign-keys&gt;&lt;key app="EN" db-id="sdf52r5f8vdrzhexpadvxark22prwd0drfvt"&gt;103&lt;/key&gt;&lt;/foreign-keys&gt;&lt;ref-type name="Book"&gt;6&lt;/ref-type&gt;&lt;contributors&gt;&lt;authors&gt;&lt;author&gt;Pritchett, James&lt;/author&gt;&lt;/authors&gt;&lt;/contributors&gt;&lt;titles&gt;&lt;title&gt;The Music of John Cage&lt;/title&gt;&lt;/titles&gt;&lt;dates&gt;&lt;year&gt;1996&lt;/year&gt;&lt;/dates&gt;&lt;pub-location&gt;Cambridge&lt;/pub-location&gt;&lt;publisher&gt;Cambridge University Press&lt;/publisher&gt;&lt;urls&gt;&lt;/urls&gt;&lt;/record&gt;&lt;/Cite&gt;&lt;/EndNote&gt;</w:instrText>
      </w:r>
      <w:r w:rsidRPr="00F50AEE">
        <w:rPr>
          <w:sz w:val="18"/>
          <w:szCs w:val="18"/>
          <w:lang w:val="en-US"/>
        </w:rPr>
        <w:fldChar w:fldCharType="separate"/>
      </w:r>
      <w:r w:rsidRPr="00F50AEE">
        <w:rPr>
          <w:noProof/>
          <w:sz w:val="18"/>
          <w:szCs w:val="18"/>
          <w:lang w:val="en-US"/>
        </w:rPr>
        <w:t>Ibid.</w:t>
      </w:r>
      <w:r w:rsidRPr="00F50AEE">
        <w:rPr>
          <w:sz w:val="18"/>
          <w:szCs w:val="18"/>
          <w:lang w:val="en-US"/>
        </w:rPr>
        <w:fldChar w:fldCharType="end"/>
      </w:r>
    </w:p>
  </w:footnote>
  <w:footnote w:id="15">
    <w:p w:rsidR="001E32DB" w:rsidRPr="00F50AEE" w:rsidRDefault="001E32DB" w:rsidP="001E32DB">
      <w:pPr>
        <w:pStyle w:val="Fotnotstext"/>
        <w:jc w:val="both"/>
        <w:rPr>
          <w:sz w:val="18"/>
          <w:szCs w:val="18"/>
          <w:lang w:val="en-US"/>
        </w:rPr>
      </w:pPr>
      <w:r w:rsidRPr="00F50AEE">
        <w:rPr>
          <w:rStyle w:val="Fotnotsreferens"/>
          <w:sz w:val="18"/>
          <w:szCs w:val="18"/>
          <w:lang w:val="en-US"/>
        </w:rPr>
        <w:footnoteRef/>
      </w:r>
      <w:r w:rsidRPr="00F50AEE">
        <w:rPr>
          <w:sz w:val="18"/>
          <w:szCs w:val="18"/>
          <w:lang w:val="en-US"/>
        </w:rPr>
        <w:t xml:space="preserve"> </w:t>
      </w:r>
      <w:r w:rsidRPr="00F50AEE">
        <w:rPr>
          <w:sz w:val="18"/>
          <w:szCs w:val="18"/>
          <w:lang w:val="en-US"/>
        </w:rPr>
        <w:fldChar w:fldCharType="begin"/>
      </w:r>
      <w:r>
        <w:rPr>
          <w:sz w:val="18"/>
          <w:szCs w:val="18"/>
          <w:lang w:val="en-US"/>
        </w:rPr>
        <w:instrText xml:space="preserve"> ADDIN EN.CITE &lt;EndNote&gt;&lt;Cite&gt;&lt;Author&gt;Pritchett&lt;/Author&gt;&lt;Year&gt;1996&lt;/Year&gt;&lt;RecNum&gt;103&lt;/RecNum&gt;&lt;Pages&gt;4&lt;/Pages&gt;&lt;record&gt;&lt;rec-number&gt;103&lt;/rec-number&gt;&lt;foreign-keys&gt;&lt;key app="EN" db-id="sdf52r5f8vdrzhexpadvxark22prwd0drfvt"&gt;103&lt;/key&gt;&lt;/foreign-keys&gt;&lt;ref-type name="Book"&gt;6&lt;/ref-type&gt;&lt;contributors&gt;&lt;authors&gt;&lt;author&gt;Pritchett, James&lt;/author&gt;&lt;/authors&gt;&lt;/contributors&gt;&lt;titles&gt;&lt;title&gt;The Music of John Cage&lt;/title&gt;&lt;/titles&gt;&lt;dates&gt;&lt;year&gt;1996&lt;/year&gt;&lt;/dates&gt;&lt;pub-location&gt;Cambridge&lt;/pub-location&gt;&lt;publisher&gt;Cambridge University Press&lt;/publisher&gt;&lt;urls&gt;&lt;/urls&gt;&lt;/record&gt;&lt;/Cite&gt;&lt;/EndNote&gt;</w:instrText>
      </w:r>
      <w:r w:rsidRPr="00F50AEE">
        <w:rPr>
          <w:sz w:val="18"/>
          <w:szCs w:val="18"/>
          <w:lang w:val="en-US"/>
        </w:rPr>
        <w:fldChar w:fldCharType="separate"/>
      </w:r>
      <w:r w:rsidRPr="00F50AEE">
        <w:rPr>
          <w:noProof/>
          <w:sz w:val="18"/>
          <w:szCs w:val="18"/>
          <w:lang w:val="en-US"/>
        </w:rPr>
        <w:t>Ibid., 4.</w:t>
      </w:r>
      <w:r w:rsidRPr="00F50AEE">
        <w:rPr>
          <w:sz w:val="18"/>
          <w:szCs w:val="18"/>
          <w:lang w:val="en-US"/>
        </w:rPr>
        <w:fldChar w:fldCharType="end"/>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1304"/>
  <w:hyphenationZone w:val="425"/>
  <w:characterSpacingControl w:val="doNotCompress"/>
  <w:footnotePr>
    <w:footnote w:id="-1"/>
    <w:footnote w:id="0"/>
  </w:footnotePr>
  <w:endnotePr>
    <w:endnote w:id="-1"/>
    <w:endnote w:id="0"/>
  </w:endnotePr>
  <w:compat/>
  <w:rsids>
    <w:rsidRoot w:val="001E32DB"/>
    <w:rsid w:val="00077E1D"/>
    <w:rsid w:val="001E32DB"/>
    <w:rsid w:val="0022011E"/>
    <w:rsid w:val="002505D6"/>
    <w:rsid w:val="00285C03"/>
    <w:rsid w:val="003B58A4"/>
    <w:rsid w:val="003C70AF"/>
    <w:rsid w:val="0042309C"/>
    <w:rsid w:val="00441236"/>
    <w:rsid w:val="004E5E68"/>
    <w:rsid w:val="004F4D7D"/>
    <w:rsid w:val="00620CA2"/>
    <w:rsid w:val="00840EF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0AF"/>
    <w:pPr>
      <w:spacing w:after="0" w:line="360" w:lineRule="auto"/>
    </w:pPr>
    <w:rPr>
      <w:rFonts w:ascii="Times New Roman" w:hAnsi="Times New Roman"/>
      <w:sz w:val="24"/>
    </w:rPr>
  </w:style>
  <w:style w:type="paragraph" w:styleId="Rubrik1">
    <w:name w:val="heading 1"/>
    <w:basedOn w:val="Normal"/>
    <w:next w:val="Normal"/>
    <w:link w:val="Rubrik1Char"/>
    <w:uiPriority w:val="9"/>
    <w:qFormat/>
    <w:rsid w:val="00077E1D"/>
    <w:pPr>
      <w:keepNext/>
      <w:keepLines/>
      <w:spacing w:before="480" w:line="276" w:lineRule="auto"/>
      <w:outlineLvl w:val="0"/>
    </w:pPr>
    <w:rPr>
      <w:rFonts w:asciiTheme="majorHAnsi" w:eastAsiaTheme="majorEastAsia" w:hAnsiTheme="majorHAnsi" w:cstheme="majorBidi"/>
      <w:b/>
      <w:bCs/>
      <w:color w:val="000000" w:themeColor="text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B58A4"/>
    <w:pPr>
      <w:spacing w:after="0" w:line="240" w:lineRule="auto"/>
    </w:pPr>
  </w:style>
  <w:style w:type="paragraph" w:styleId="Citat">
    <w:name w:val="Quote"/>
    <w:basedOn w:val="Normal"/>
    <w:next w:val="Normal"/>
    <w:link w:val="CitatChar"/>
    <w:uiPriority w:val="29"/>
    <w:qFormat/>
    <w:rsid w:val="0042309C"/>
    <w:pPr>
      <w:spacing w:before="160" w:after="160" w:line="276" w:lineRule="auto"/>
      <w:ind w:left="284"/>
    </w:pPr>
    <w:rPr>
      <w:iCs/>
      <w:color w:val="000000" w:themeColor="text1"/>
      <w:sz w:val="20"/>
    </w:rPr>
  </w:style>
  <w:style w:type="character" w:customStyle="1" w:styleId="CitatChar">
    <w:name w:val="Citat Char"/>
    <w:basedOn w:val="Standardstycketeckensnitt"/>
    <w:link w:val="Citat"/>
    <w:uiPriority w:val="29"/>
    <w:rsid w:val="0042309C"/>
    <w:rPr>
      <w:rFonts w:ascii="Times New Roman" w:hAnsi="Times New Roman"/>
      <w:iCs/>
      <w:color w:val="000000" w:themeColor="text1"/>
      <w:sz w:val="20"/>
    </w:rPr>
  </w:style>
  <w:style w:type="character" w:customStyle="1" w:styleId="Rubrik1Char">
    <w:name w:val="Rubrik 1 Char"/>
    <w:basedOn w:val="Standardstycketeckensnitt"/>
    <w:link w:val="Rubrik1"/>
    <w:uiPriority w:val="9"/>
    <w:rsid w:val="00077E1D"/>
    <w:rPr>
      <w:rFonts w:asciiTheme="majorHAnsi" w:eastAsiaTheme="majorEastAsia" w:hAnsiTheme="majorHAnsi" w:cstheme="majorBidi"/>
      <w:b/>
      <w:bCs/>
      <w:color w:val="000000" w:themeColor="text1"/>
      <w:sz w:val="28"/>
      <w:szCs w:val="28"/>
    </w:rPr>
  </w:style>
  <w:style w:type="paragraph" w:styleId="Rubrik">
    <w:name w:val="Title"/>
    <w:basedOn w:val="Normal"/>
    <w:next w:val="Normal"/>
    <w:link w:val="RubrikChar"/>
    <w:uiPriority w:val="10"/>
    <w:qFormat/>
    <w:rsid w:val="00077E1D"/>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077E1D"/>
    <w:rPr>
      <w:rFonts w:asciiTheme="majorHAnsi" w:eastAsiaTheme="majorEastAsia" w:hAnsiTheme="majorHAnsi" w:cstheme="majorBidi"/>
      <w:color w:val="000000" w:themeColor="text1"/>
      <w:spacing w:val="5"/>
      <w:kern w:val="28"/>
      <w:sz w:val="52"/>
      <w:szCs w:val="52"/>
    </w:rPr>
  </w:style>
  <w:style w:type="paragraph" w:styleId="Fotnotstext">
    <w:name w:val="footnote text"/>
    <w:basedOn w:val="Normal"/>
    <w:link w:val="FotnotstextChar"/>
    <w:unhideWhenUsed/>
    <w:rsid w:val="001E32DB"/>
    <w:pPr>
      <w:spacing w:line="240" w:lineRule="auto"/>
    </w:pPr>
    <w:rPr>
      <w:sz w:val="20"/>
      <w:szCs w:val="20"/>
    </w:rPr>
  </w:style>
  <w:style w:type="character" w:customStyle="1" w:styleId="FotnotstextChar">
    <w:name w:val="Fotnotstext Char"/>
    <w:basedOn w:val="Standardstycketeckensnitt"/>
    <w:link w:val="Fotnotstext"/>
    <w:rsid w:val="001E32DB"/>
    <w:rPr>
      <w:rFonts w:ascii="Times New Roman" w:hAnsi="Times New Roman"/>
      <w:sz w:val="20"/>
      <w:szCs w:val="20"/>
    </w:rPr>
  </w:style>
  <w:style w:type="character" w:styleId="Fotnotsreferens">
    <w:name w:val="footnote reference"/>
    <w:basedOn w:val="Standardstycketeckensnitt"/>
    <w:unhideWhenUsed/>
    <w:rsid w:val="001E32DB"/>
    <w:rPr>
      <w:vertAlign w:val="superscript"/>
    </w:rPr>
  </w:style>
  <w:style w:type="character" w:customStyle="1" w:styleId="apple-style-span">
    <w:name w:val="apple-style-span"/>
    <w:basedOn w:val="Standardstycketeckensnitt"/>
    <w:rsid w:val="001E32DB"/>
  </w:style>
  <w:style w:type="character" w:customStyle="1" w:styleId="apple-converted-space">
    <w:name w:val="apple-converted-space"/>
    <w:basedOn w:val="Standardstycketeckensnitt"/>
    <w:rsid w:val="001E32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2668</Words>
  <Characters>14143</Characters>
  <Application>Microsoft Office Word</Application>
  <DocSecurity>0</DocSecurity>
  <Lines>117</Lines>
  <Paragraphs>33</Paragraphs>
  <ScaleCrop>false</ScaleCrop>
  <Company/>
  <LinksUpToDate>false</LinksUpToDate>
  <CharactersWithSpaces>16778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Andersson</dc:creator>
  <cp:lastModifiedBy>Magnus Andersson</cp:lastModifiedBy>
  <cp:revision>1</cp:revision>
  <dcterms:created xsi:type="dcterms:W3CDTF">2011-05-04T19:47:00Z</dcterms:created>
  <dcterms:modified xsi:type="dcterms:W3CDTF">2011-05-04T19:48:00Z</dcterms:modified>
</cp:coreProperties>
</file>