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AF" w:rsidRPr="008D5A31" w:rsidRDefault="00DD245B">
      <w:pPr>
        <w:rPr>
          <w:b/>
          <w:sz w:val="24"/>
          <w:lang w:val="en-US"/>
        </w:rPr>
      </w:pPr>
      <w:r w:rsidRPr="008D5A31">
        <w:rPr>
          <w:b/>
          <w:sz w:val="24"/>
          <w:lang w:val="en-US"/>
        </w:rPr>
        <w:t xml:space="preserve">Establishing a historically informed performance practice of </w:t>
      </w:r>
      <w:r w:rsidR="00CC463B">
        <w:rPr>
          <w:b/>
          <w:sz w:val="24"/>
          <w:lang w:val="en-US"/>
        </w:rPr>
        <w:t xml:space="preserve">John </w:t>
      </w:r>
      <w:r w:rsidRPr="008D5A31">
        <w:rPr>
          <w:b/>
          <w:sz w:val="24"/>
          <w:lang w:val="en-US"/>
        </w:rPr>
        <w:t xml:space="preserve">Cage’s </w:t>
      </w:r>
      <w:r w:rsidRPr="008D5A31">
        <w:rPr>
          <w:b/>
          <w:i/>
          <w:sz w:val="24"/>
          <w:lang w:val="en-US"/>
        </w:rPr>
        <w:t>4’33’’</w:t>
      </w:r>
    </w:p>
    <w:p w:rsidR="00DD245B" w:rsidRPr="008D5A31" w:rsidRDefault="00DD245B">
      <w:pPr>
        <w:rPr>
          <w:sz w:val="24"/>
          <w:lang w:val="en-US"/>
        </w:rPr>
      </w:pPr>
    </w:p>
    <w:p w:rsidR="00567448" w:rsidRDefault="008D5A31">
      <w:pPr>
        <w:rPr>
          <w:sz w:val="24"/>
          <w:lang w:val="en-US"/>
        </w:rPr>
      </w:pPr>
      <w:r w:rsidRPr="008D5A31">
        <w:rPr>
          <w:sz w:val="24"/>
          <w:lang w:val="en-US"/>
        </w:rPr>
        <w:t xml:space="preserve">Any </w:t>
      </w:r>
      <w:r w:rsidR="00567448">
        <w:rPr>
          <w:sz w:val="24"/>
          <w:lang w:val="en-US"/>
        </w:rPr>
        <w:t xml:space="preserve">amateur could </w:t>
      </w:r>
      <w:r w:rsidRPr="008D5A31">
        <w:rPr>
          <w:sz w:val="24"/>
          <w:lang w:val="en-US"/>
        </w:rPr>
        <w:t xml:space="preserve">seemingly perform Cage’s </w:t>
      </w:r>
      <w:r w:rsidRPr="008D5A31">
        <w:rPr>
          <w:i/>
          <w:sz w:val="24"/>
          <w:lang w:val="en-US"/>
        </w:rPr>
        <w:t>4’33’’</w:t>
      </w:r>
      <w:r w:rsidRPr="008D5A31">
        <w:rPr>
          <w:sz w:val="24"/>
          <w:lang w:val="en-US"/>
        </w:rPr>
        <w:t xml:space="preserve">, but the composer himself claimed that most people misunderstood the piece. </w:t>
      </w:r>
      <w:r w:rsidR="009A0602">
        <w:rPr>
          <w:sz w:val="24"/>
          <w:lang w:val="en-US"/>
        </w:rPr>
        <w:t xml:space="preserve">How was the piece performed in the 50s, and how are we today to understand the half-century old practice? </w:t>
      </w:r>
      <w:r w:rsidR="00567448">
        <w:rPr>
          <w:sz w:val="24"/>
          <w:lang w:val="en-US"/>
        </w:rPr>
        <w:t xml:space="preserve">Comparing four different </w:t>
      </w:r>
      <w:r w:rsidR="00143DDC">
        <w:rPr>
          <w:sz w:val="24"/>
          <w:lang w:val="en-US"/>
        </w:rPr>
        <w:t xml:space="preserve">performances and the </w:t>
      </w:r>
      <w:r w:rsidR="00567448">
        <w:rPr>
          <w:sz w:val="24"/>
          <w:lang w:val="en-US"/>
        </w:rPr>
        <w:t xml:space="preserve">attitudes </w:t>
      </w:r>
      <w:r w:rsidR="00143DDC">
        <w:rPr>
          <w:sz w:val="24"/>
          <w:lang w:val="en-US"/>
        </w:rPr>
        <w:t xml:space="preserve">that the performers’ had as they </w:t>
      </w:r>
      <w:r w:rsidR="00567448">
        <w:rPr>
          <w:sz w:val="24"/>
          <w:lang w:val="en-US"/>
        </w:rPr>
        <w:t xml:space="preserve">played the piece – all endorsed by Cage – one may be confused whether we are even dealing with the same piece. Even so, there is a least common denominator, namely that the focal point is turned from sound structures towards experience, or </w:t>
      </w:r>
      <w:r w:rsidR="00141A4C">
        <w:rPr>
          <w:sz w:val="24"/>
          <w:lang w:val="en-US"/>
        </w:rPr>
        <w:t>from object to process.</w:t>
      </w:r>
    </w:p>
    <w:p w:rsidR="00143DDC" w:rsidRDefault="00567448" w:rsidP="002F76F5">
      <w:pPr>
        <w:ind w:firstLine="142"/>
        <w:rPr>
          <w:sz w:val="24"/>
          <w:lang w:val="en-US"/>
        </w:rPr>
      </w:pPr>
      <w:r>
        <w:rPr>
          <w:sz w:val="24"/>
          <w:lang w:val="en-US"/>
        </w:rPr>
        <w:t xml:space="preserve">It </w:t>
      </w:r>
      <w:r w:rsidR="00141A4C">
        <w:rPr>
          <w:sz w:val="24"/>
          <w:lang w:val="en-US"/>
        </w:rPr>
        <w:t xml:space="preserve">is </w:t>
      </w:r>
      <w:r>
        <w:rPr>
          <w:sz w:val="24"/>
          <w:lang w:val="en-US"/>
        </w:rPr>
        <w:t xml:space="preserve">obvious with a composer as philosophically inclined as Cage, that we must understand his aesthetics in order to correctly formulate an adequate performance practice. Doing so, we run the risk of misunderstanding this practice if we take Cage’s utterances, </w:t>
      </w:r>
      <w:r w:rsidR="00653AF2">
        <w:rPr>
          <w:sz w:val="24"/>
          <w:lang w:val="en-US"/>
        </w:rPr>
        <w:t xml:space="preserve">his </w:t>
      </w:r>
      <w:r>
        <w:rPr>
          <w:sz w:val="24"/>
          <w:lang w:val="en-US"/>
        </w:rPr>
        <w:t>own performances</w:t>
      </w:r>
      <w:r w:rsidR="00653AF2">
        <w:rPr>
          <w:sz w:val="24"/>
          <w:lang w:val="en-US"/>
        </w:rPr>
        <w:t>,</w:t>
      </w:r>
      <w:r>
        <w:rPr>
          <w:sz w:val="24"/>
          <w:lang w:val="en-US"/>
        </w:rPr>
        <w:t xml:space="preserve"> and </w:t>
      </w:r>
      <w:r w:rsidR="00653AF2">
        <w:rPr>
          <w:sz w:val="24"/>
          <w:lang w:val="en-US"/>
        </w:rPr>
        <w:t xml:space="preserve">the </w:t>
      </w:r>
      <w:r>
        <w:rPr>
          <w:sz w:val="24"/>
          <w:lang w:val="en-US"/>
        </w:rPr>
        <w:t xml:space="preserve">performances </w:t>
      </w:r>
      <w:r w:rsidR="00653AF2">
        <w:rPr>
          <w:sz w:val="24"/>
          <w:lang w:val="en-US"/>
        </w:rPr>
        <w:t xml:space="preserve">he supervised </w:t>
      </w:r>
      <w:r>
        <w:rPr>
          <w:sz w:val="24"/>
          <w:lang w:val="en-US"/>
        </w:rPr>
        <w:t xml:space="preserve">at face value, namely that we understand them as sound structures or actions to imitate. </w:t>
      </w:r>
      <w:r w:rsidR="002F76F5">
        <w:rPr>
          <w:sz w:val="24"/>
          <w:lang w:val="en-US"/>
        </w:rPr>
        <w:t>Reading his aesthetic works in light of his practice, we arrive at that w</w:t>
      </w:r>
      <w:r>
        <w:rPr>
          <w:sz w:val="24"/>
          <w:lang w:val="en-US"/>
        </w:rPr>
        <w:t xml:space="preserve">hat we must mimic are the </w:t>
      </w:r>
      <w:r w:rsidRPr="002F76F5">
        <w:rPr>
          <w:i/>
          <w:sz w:val="24"/>
          <w:lang w:val="en-US"/>
        </w:rPr>
        <w:t>attitudes</w:t>
      </w:r>
      <w:r>
        <w:rPr>
          <w:sz w:val="24"/>
          <w:lang w:val="en-US"/>
        </w:rPr>
        <w:t xml:space="preserve"> with which Cage met music, </w:t>
      </w:r>
      <w:r w:rsidR="002F76F5">
        <w:rPr>
          <w:sz w:val="24"/>
          <w:lang w:val="en-US"/>
        </w:rPr>
        <w:t xml:space="preserve">not the </w:t>
      </w:r>
      <w:r w:rsidR="002F76F5">
        <w:rPr>
          <w:i/>
          <w:sz w:val="24"/>
          <w:lang w:val="en-US"/>
        </w:rPr>
        <w:t>outcome</w:t>
      </w:r>
      <w:r w:rsidR="002F76F5">
        <w:rPr>
          <w:sz w:val="24"/>
          <w:lang w:val="en-US"/>
        </w:rPr>
        <w:t xml:space="preserve"> of the attitudes (the actual sound structures).</w:t>
      </w:r>
      <w:r>
        <w:rPr>
          <w:sz w:val="24"/>
          <w:lang w:val="en-US"/>
        </w:rPr>
        <w:t xml:space="preserve"> </w:t>
      </w:r>
    </w:p>
    <w:p w:rsidR="007F69C8" w:rsidRDefault="002F76F5" w:rsidP="002F76F5">
      <w:pPr>
        <w:ind w:firstLine="142"/>
        <w:rPr>
          <w:sz w:val="24"/>
          <w:lang w:val="en-US"/>
        </w:rPr>
      </w:pPr>
      <w:r>
        <w:rPr>
          <w:sz w:val="24"/>
          <w:lang w:val="en-US"/>
        </w:rPr>
        <w:t xml:space="preserve">Cage said that the common misunderstanding of </w:t>
      </w:r>
      <w:r>
        <w:rPr>
          <w:i/>
          <w:sz w:val="24"/>
          <w:lang w:val="en-US"/>
        </w:rPr>
        <w:t>4’33’’</w:t>
      </w:r>
      <w:r>
        <w:rPr>
          <w:sz w:val="24"/>
          <w:lang w:val="en-US"/>
        </w:rPr>
        <w:t xml:space="preserve"> came from </w:t>
      </w:r>
      <w:r w:rsidR="007F69C8">
        <w:rPr>
          <w:sz w:val="24"/>
          <w:lang w:val="en-US"/>
        </w:rPr>
        <w:t xml:space="preserve">understanding it with </w:t>
      </w:r>
      <w:r w:rsidR="007F69C8">
        <w:rPr>
          <w:i/>
          <w:sz w:val="24"/>
          <w:lang w:val="en-US"/>
        </w:rPr>
        <w:t>something</w:t>
      </w:r>
      <w:r w:rsidR="007F69C8">
        <w:rPr>
          <w:sz w:val="24"/>
          <w:lang w:val="en-US"/>
        </w:rPr>
        <w:t xml:space="preserve"> instead of with </w:t>
      </w:r>
      <w:r w:rsidR="007F69C8">
        <w:rPr>
          <w:i/>
          <w:sz w:val="24"/>
          <w:lang w:val="en-US"/>
        </w:rPr>
        <w:t>nothing</w:t>
      </w:r>
      <w:r w:rsidR="007F69C8">
        <w:rPr>
          <w:sz w:val="24"/>
          <w:lang w:val="en-US"/>
        </w:rPr>
        <w:t xml:space="preserve"> as a basis. Sound structures are identifiable and finite entities (something). The attitude which is common to the four performances under scrutiny </w:t>
      </w:r>
      <w:r w:rsidR="00143DDC">
        <w:rPr>
          <w:sz w:val="24"/>
          <w:lang w:val="en-US"/>
        </w:rPr>
        <w:t xml:space="preserve">comprises that </w:t>
      </w:r>
      <w:r w:rsidR="007F69C8">
        <w:rPr>
          <w:sz w:val="24"/>
          <w:lang w:val="en-US"/>
        </w:rPr>
        <w:t xml:space="preserve">one can neither anticipate </w:t>
      </w:r>
      <w:r w:rsidR="00143DDC">
        <w:rPr>
          <w:sz w:val="24"/>
          <w:lang w:val="en-US"/>
        </w:rPr>
        <w:t xml:space="preserve">musical events </w:t>
      </w:r>
      <w:r w:rsidR="007F69C8">
        <w:rPr>
          <w:sz w:val="24"/>
          <w:lang w:val="en-US"/>
        </w:rPr>
        <w:t xml:space="preserve">nor acknowledge any categories that </w:t>
      </w:r>
      <w:r>
        <w:rPr>
          <w:sz w:val="24"/>
          <w:lang w:val="en-US"/>
        </w:rPr>
        <w:t>music can be subsumed into. The attitude must furthermore be constantly changed as it would otherwise be a repetition and become familiar to the performer.</w:t>
      </w:r>
    </w:p>
    <w:p w:rsidR="00143DDC" w:rsidRPr="00143DDC" w:rsidRDefault="00143DDC" w:rsidP="00143DDC">
      <w:pPr>
        <w:ind w:firstLine="142"/>
        <w:rPr>
          <w:sz w:val="24"/>
          <w:lang w:val="en-US"/>
        </w:rPr>
      </w:pPr>
      <w:r>
        <w:rPr>
          <w:sz w:val="24"/>
          <w:lang w:val="en-US"/>
        </w:rPr>
        <w:t xml:space="preserve">As </w:t>
      </w:r>
      <w:r>
        <w:rPr>
          <w:i/>
          <w:sz w:val="24"/>
          <w:lang w:val="en-US"/>
        </w:rPr>
        <w:t>4’33’’</w:t>
      </w:r>
      <w:r>
        <w:rPr>
          <w:sz w:val="24"/>
          <w:lang w:val="en-US"/>
        </w:rPr>
        <w:t xml:space="preserve"> is the nucleus of Cage’s oeuvre, it pinpoints a number of relevant aspects of how to understand and perform almost any post-</w:t>
      </w:r>
      <w:r>
        <w:rPr>
          <w:i/>
          <w:sz w:val="24"/>
          <w:lang w:val="en-US"/>
        </w:rPr>
        <w:t>4’33’’</w:t>
      </w:r>
      <w:r>
        <w:rPr>
          <w:sz w:val="24"/>
          <w:lang w:val="en-US"/>
        </w:rPr>
        <w:t xml:space="preserve"> piece by Cage with </w:t>
      </w:r>
      <w:r>
        <w:rPr>
          <w:i/>
          <w:sz w:val="24"/>
          <w:lang w:val="en-US"/>
        </w:rPr>
        <w:t>nothing</w:t>
      </w:r>
      <w:r>
        <w:rPr>
          <w:sz w:val="24"/>
          <w:lang w:val="en-US"/>
        </w:rPr>
        <w:t xml:space="preserve"> taken as a basis.</w:t>
      </w:r>
    </w:p>
    <w:p w:rsidR="00DD245B" w:rsidRDefault="00DD245B" w:rsidP="00DD245B">
      <w:pPr>
        <w:rPr>
          <w:sz w:val="24"/>
          <w:lang w:val="en-US"/>
        </w:rPr>
      </w:pPr>
    </w:p>
    <w:p w:rsidR="00CC463B" w:rsidRDefault="00CC463B" w:rsidP="00DD245B">
      <w:pPr>
        <w:rPr>
          <w:lang w:val="en-US"/>
        </w:rPr>
      </w:pPr>
    </w:p>
    <w:p w:rsidR="00DD245B" w:rsidRPr="00CC463B" w:rsidRDefault="00CC463B">
      <w:pPr>
        <w:rPr>
          <w:i/>
          <w:sz w:val="24"/>
          <w:lang w:val="en-US"/>
        </w:rPr>
      </w:pPr>
      <w:r w:rsidRPr="00CC463B">
        <w:rPr>
          <w:i/>
          <w:lang w:val="en-US"/>
        </w:rPr>
        <w:t>Magnus Andersson is a research fellow at the Norwegian Academy of Music and a member of ORCiM (Orpheus Research Centre in Music) in Gent, Belgium. His dissertation on John Cage is written and will be defended in the fall of 2009. Andersson has also a background as a professional pianist, and as a musicologist he more and more works with questions from the musician’s point of view. He is currently lecturing at the Norwegian Academy of Music, and works as a music critic for the Norwegian newspaper Morgenbladet.</w:t>
      </w:r>
    </w:p>
    <w:sectPr w:rsidR="00DD245B" w:rsidRPr="00CC463B" w:rsidSect="006947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0E8" w:rsidRDefault="005B00E8" w:rsidP="008D5A31">
      <w:pPr>
        <w:spacing w:line="240" w:lineRule="auto"/>
      </w:pPr>
      <w:r>
        <w:separator/>
      </w:r>
    </w:p>
  </w:endnote>
  <w:endnote w:type="continuationSeparator" w:id="1">
    <w:p w:rsidR="005B00E8" w:rsidRDefault="005B00E8" w:rsidP="008D5A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0E8" w:rsidRDefault="005B00E8" w:rsidP="008D5A31">
      <w:pPr>
        <w:spacing w:line="240" w:lineRule="auto"/>
      </w:pPr>
      <w:r>
        <w:separator/>
      </w:r>
    </w:p>
  </w:footnote>
  <w:footnote w:type="continuationSeparator" w:id="1">
    <w:p w:rsidR="005B00E8" w:rsidRDefault="005B00E8" w:rsidP="008D5A3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defaultTabStop w:val="1304"/>
  <w:hyphenationZone w:val="425"/>
  <w:characterSpacingControl w:val="doNotCompress"/>
  <w:footnotePr>
    <w:footnote w:id="0"/>
    <w:footnote w:id="1"/>
  </w:footnotePr>
  <w:endnotePr>
    <w:endnote w:id="0"/>
    <w:endnote w:id="1"/>
  </w:endnotePr>
  <w:compat/>
  <w:rsids>
    <w:rsidRoot w:val="00DD245B"/>
    <w:rsid w:val="0006358C"/>
    <w:rsid w:val="000C3FED"/>
    <w:rsid w:val="00141A4C"/>
    <w:rsid w:val="00143DDC"/>
    <w:rsid w:val="001A0E15"/>
    <w:rsid w:val="002B2C3E"/>
    <w:rsid w:val="002F76F5"/>
    <w:rsid w:val="0031586E"/>
    <w:rsid w:val="00436A2F"/>
    <w:rsid w:val="00452887"/>
    <w:rsid w:val="00567448"/>
    <w:rsid w:val="005B00E8"/>
    <w:rsid w:val="00653AF2"/>
    <w:rsid w:val="006947AF"/>
    <w:rsid w:val="006E5209"/>
    <w:rsid w:val="007E27FD"/>
    <w:rsid w:val="007F1D73"/>
    <w:rsid w:val="007F69C8"/>
    <w:rsid w:val="00876BFB"/>
    <w:rsid w:val="008D5A31"/>
    <w:rsid w:val="008D7E0E"/>
    <w:rsid w:val="0094550F"/>
    <w:rsid w:val="009A0602"/>
    <w:rsid w:val="00BA6153"/>
    <w:rsid w:val="00CC463B"/>
    <w:rsid w:val="00DD245B"/>
    <w:rsid w:val="00E00BF4"/>
    <w:rsid w:val="00F14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5B"/>
    <w:pPr>
      <w:spacing w:after="0" w:line="320" w:lineRule="exact"/>
    </w:pPr>
    <w:rPr>
      <w:rFonts w:eastAsia="Times New Roman"/>
      <w:sz w:val="26"/>
      <w:szCs w:val="20"/>
      <w:lang w:eastAsia="sv-SE"/>
    </w:rPr>
  </w:style>
  <w:style w:type="paragraph" w:styleId="Overskrift2">
    <w:name w:val="heading 2"/>
    <w:basedOn w:val="Normal"/>
    <w:next w:val="Normal"/>
    <w:link w:val="Overskrift2Tegn"/>
    <w:qFormat/>
    <w:rsid w:val="00DD245B"/>
    <w:pPr>
      <w:keepNext/>
      <w:spacing w:before="240" w:after="60" w:line="420" w:lineRule="exact"/>
      <w:outlineLvl w:val="1"/>
    </w:pPr>
    <w:rPr>
      <w:rFonts w:ascii="Arial" w:hAnsi="Arial"/>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DD245B"/>
    <w:rPr>
      <w:rFonts w:ascii="Arial" w:eastAsia="Times New Roman" w:hAnsi="Arial"/>
      <w:b/>
      <w:sz w:val="32"/>
      <w:szCs w:val="20"/>
      <w:lang w:eastAsia="sv-SE"/>
    </w:rPr>
  </w:style>
  <w:style w:type="paragraph" w:customStyle="1" w:styleId="Normalmedindrag">
    <w:name w:val="Normal med indrag"/>
    <w:basedOn w:val="Normal"/>
    <w:rsid w:val="00DD245B"/>
    <w:pPr>
      <w:ind w:firstLine="709"/>
    </w:pPr>
  </w:style>
  <w:style w:type="paragraph" w:styleId="Tittel">
    <w:name w:val="Title"/>
    <w:basedOn w:val="Normal"/>
    <w:link w:val="TittelTegn"/>
    <w:qFormat/>
    <w:rsid w:val="00DD245B"/>
    <w:pPr>
      <w:jc w:val="center"/>
    </w:pPr>
    <w:rPr>
      <w:b/>
      <w:sz w:val="24"/>
    </w:rPr>
  </w:style>
  <w:style w:type="character" w:customStyle="1" w:styleId="TittelTegn">
    <w:name w:val="Tittel Tegn"/>
    <w:basedOn w:val="Standardskriftforavsnitt"/>
    <w:link w:val="Tittel"/>
    <w:rsid w:val="00DD245B"/>
    <w:rPr>
      <w:rFonts w:eastAsia="Times New Roman"/>
      <w:b/>
      <w:szCs w:val="20"/>
      <w:lang w:eastAsia="sv-SE"/>
    </w:rPr>
  </w:style>
  <w:style w:type="character" w:styleId="Hyperkobling">
    <w:name w:val="Hyperlink"/>
    <w:basedOn w:val="Standardskriftforavsnitt"/>
    <w:rsid w:val="00DD245B"/>
    <w:rPr>
      <w:color w:val="0000FF"/>
      <w:u w:val="single"/>
    </w:rPr>
  </w:style>
  <w:style w:type="paragraph" w:styleId="Dokumentkart">
    <w:name w:val="Document Map"/>
    <w:basedOn w:val="Normal"/>
    <w:link w:val="DokumentkartTegn"/>
    <w:uiPriority w:val="99"/>
    <w:semiHidden/>
    <w:unhideWhenUsed/>
    <w:rsid w:val="00DD245B"/>
    <w:pPr>
      <w:spacing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DD245B"/>
    <w:rPr>
      <w:rFonts w:ascii="Tahoma" w:eastAsia="Times New Roman" w:hAnsi="Tahoma" w:cs="Tahoma"/>
      <w:sz w:val="16"/>
      <w:szCs w:val="16"/>
      <w:lang w:eastAsia="sv-SE"/>
    </w:rPr>
  </w:style>
  <w:style w:type="paragraph" w:styleId="Fotnotetekst">
    <w:name w:val="footnote text"/>
    <w:basedOn w:val="Normal"/>
    <w:link w:val="FotnotetekstTegn"/>
    <w:rsid w:val="008D5A31"/>
    <w:pPr>
      <w:spacing w:line="240" w:lineRule="auto"/>
    </w:pPr>
    <w:rPr>
      <w:rFonts w:ascii="Book Antiqua" w:hAnsi="Book Antiqua"/>
      <w:sz w:val="20"/>
    </w:rPr>
  </w:style>
  <w:style w:type="character" w:customStyle="1" w:styleId="FotnotetekstTegn">
    <w:name w:val="Fotnotetekst Tegn"/>
    <w:basedOn w:val="Standardskriftforavsnitt"/>
    <w:link w:val="Fotnotetekst"/>
    <w:rsid w:val="008D5A31"/>
    <w:rPr>
      <w:rFonts w:ascii="Book Antiqua" w:eastAsia="Times New Roman" w:hAnsi="Book Antiqua"/>
      <w:sz w:val="20"/>
      <w:szCs w:val="20"/>
      <w:lang w:eastAsia="sv-SE"/>
    </w:rPr>
  </w:style>
  <w:style w:type="character" w:styleId="Fotnotereferanse">
    <w:name w:val="footnote reference"/>
    <w:basedOn w:val="Standardskriftforavsnitt"/>
    <w:rsid w:val="008D5A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372</Words>
  <Characters>2122</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Magnus Andersson</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Andersson</dc:creator>
  <cp:keywords/>
  <dc:description/>
  <cp:lastModifiedBy>Magnus Andersson</cp:lastModifiedBy>
  <cp:revision>18</cp:revision>
  <dcterms:created xsi:type="dcterms:W3CDTF">2009-02-28T14:13:00Z</dcterms:created>
  <dcterms:modified xsi:type="dcterms:W3CDTF">2009-03-02T17:48:00Z</dcterms:modified>
</cp:coreProperties>
</file>